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6CD" w14:textId="77777777" w:rsidR="00193849" w:rsidRDefault="00193849" w:rsidP="009D1B93">
      <w:pPr>
        <w:rPr>
          <w:noProof/>
        </w:rPr>
      </w:pPr>
    </w:p>
    <w:p w14:paraId="56E53FB6" w14:textId="77777777" w:rsidR="00193849" w:rsidRDefault="00193849" w:rsidP="009D1B93"/>
    <w:p w14:paraId="33CA0FC5" w14:textId="77777777" w:rsidR="00193849" w:rsidRDefault="00193849" w:rsidP="009D1B93"/>
    <w:p w14:paraId="69CBCC8F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5919BCA8" w14:textId="77777777" w:rsidTr="00B159A3">
        <w:tc>
          <w:tcPr>
            <w:tcW w:w="434" w:type="dxa"/>
          </w:tcPr>
          <w:p w14:paraId="4A737B8A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4B57450F" w14:textId="7036A532" w:rsidR="00193849" w:rsidRPr="00E84930" w:rsidRDefault="00FA769B" w:rsidP="00E84930">
            <w:pPr>
              <w:pStyle w:val="Normalnospaceafterorbefore"/>
            </w:pPr>
            <w:r w:rsidRPr="00FA769B">
              <w:t>NEC Health and Safety Advisory Sub-Committee</w:t>
            </w:r>
          </w:p>
        </w:tc>
        <w:tc>
          <w:tcPr>
            <w:tcW w:w="3544" w:type="dxa"/>
            <w:tcMar>
              <w:left w:w="57" w:type="dxa"/>
            </w:tcMar>
          </w:tcPr>
          <w:p w14:paraId="6E0127D0" w14:textId="434AD633" w:rsidR="00193849" w:rsidRPr="00E84930" w:rsidRDefault="00FA769B" w:rsidP="00E84930">
            <w:pPr>
              <w:pStyle w:val="Normalnospaceafterorbefore"/>
            </w:pPr>
            <w:r>
              <w:t xml:space="preserve">2 </w:t>
            </w:r>
            <w:r w:rsidR="00584DC8">
              <w:t>Ju</w:t>
            </w:r>
            <w:r w:rsidR="00BD4D9B">
              <w:t>ly</w:t>
            </w:r>
            <w:r w:rsidR="00584DC8">
              <w:t xml:space="preserve"> </w:t>
            </w:r>
            <w:r>
              <w:t>2025</w:t>
            </w:r>
          </w:p>
          <w:p w14:paraId="3D614ED3" w14:textId="77777777" w:rsidR="00193849" w:rsidRDefault="00193849" w:rsidP="00366762">
            <w:r>
              <w:fldChar w:fldCharType="begin">
                <w:ffData>
                  <w:name w:val=""/>
                  <w:enabled/>
                  <w:calcOnExit w:val="0"/>
                  <w:textInput>
                    <w:default w:val="CIRCULAR NUMBER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Circular Number</w:t>
            </w:r>
            <w:r>
              <w:fldChar w:fldCharType="end"/>
            </w:r>
          </w:p>
        </w:tc>
      </w:tr>
    </w:tbl>
    <w:p w14:paraId="4B676839" w14:textId="77777777" w:rsidR="00193849" w:rsidRDefault="00193849" w:rsidP="00366762"/>
    <w:p w14:paraId="591641D3" w14:textId="77777777" w:rsidR="00193849" w:rsidRDefault="00193849" w:rsidP="00366762"/>
    <w:p w14:paraId="45E823CD" w14:textId="309DF4D5" w:rsidR="00193849" w:rsidRDefault="00193849" w:rsidP="00366762">
      <w:r>
        <w:t xml:space="preserve">Dear </w:t>
      </w:r>
      <w:r w:rsidR="00FA769B">
        <w:t>c</w:t>
      </w:r>
      <w:r>
        <w:t>olleague</w:t>
      </w:r>
    </w:p>
    <w:p w14:paraId="75B25BBE" w14:textId="6DE0DF39" w:rsidR="00193849" w:rsidRPr="0090150D" w:rsidRDefault="00584DC8" w:rsidP="0090150D">
      <w:pPr>
        <w:pStyle w:val="Heading2"/>
      </w:pPr>
      <w:r>
        <w:t xml:space="preserve">Long </w:t>
      </w:r>
      <w:r w:rsidR="009D5A03">
        <w:t>Covid</w:t>
      </w:r>
    </w:p>
    <w:p w14:paraId="6EC61C3C" w14:textId="4C32FD89" w:rsidR="00FA769B" w:rsidRDefault="00FA769B" w:rsidP="00E84930">
      <w:r>
        <w:t xml:space="preserve">Please find attached a briefing </w:t>
      </w:r>
      <w:r w:rsidRPr="00FA769B">
        <w:t>paper</w:t>
      </w:r>
      <w:r>
        <w:t xml:space="preserve"> which</w:t>
      </w:r>
      <w:r w:rsidRPr="00FA769B">
        <w:t xml:space="preserve"> provides a summary of </w:t>
      </w:r>
      <w:r w:rsidR="00584DC8">
        <w:t xml:space="preserve">medical and health </w:t>
      </w:r>
      <w:r w:rsidRPr="00FA769B">
        <w:t xml:space="preserve">evidence on </w:t>
      </w:r>
      <w:r w:rsidR="00584DC8">
        <w:t xml:space="preserve">long </w:t>
      </w:r>
      <w:r w:rsidR="009D5A03">
        <w:t>Covid</w:t>
      </w:r>
      <w:r w:rsidR="00333395">
        <w:t xml:space="preserve">. </w:t>
      </w:r>
    </w:p>
    <w:p w14:paraId="1949EDCB" w14:textId="41362BCC" w:rsidR="00ED677E" w:rsidRDefault="00ED677E" w:rsidP="00E84930">
      <w:r>
        <w:t>Yours sincerely</w:t>
      </w:r>
    </w:p>
    <w:p w14:paraId="44343C0B" w14:textId="77777777" w:rsidR="00ED677E" w:rsidRDefault="00ED677E" w:rsidP="00ED677E"/>
    <w:p w14:paraId="22F04DC9" w14:textId="62D7BB2B" w:rsidR="00ED677E" w:rsidRDefault="00FA769B" w:rsidP="00E84930">
      <w:r>
        <w:t>Chris Warburton</w:t>
      </w:r>
    </w:p>
    <w:p w14:paraId="77E4DF0C" w14:textId="77777777" w:rsidR="00ED677E" w:rsidRDefault="00ED677E" w:rsidP="00ED677E">
      <w:pPr>
        <w:rPr>
          <w:b/>
        </w:rPr>
      </w:pPr>
    </w:p>
    <w:p w14:paraId="224DD70F" w14:textId="31FC4DEF" w:rsidR="006D3866" w:rsidRDefault="00FA769B" w:rsidP="006D3866">
      <w:r>
        <w:t>Health and safety research officer</w:t>
      </w:r>
    </w:p>
    <w:p w14:paraId="2CB97A28" w14:textId="6290085A" w:rsidR="00FA769B" w:rsidRDefault="00FA769B">
      <w:pPr>
        <w:spacing w:before="0"/>
      </w:pPr>
      <w:r>
        <w:br w:type="page"/>
      </w:r>
    </w:p>
    <w:p w14:paraId="0236719E" w14:textId="28C39A18" w:rsidR="00FA769B" w:rsidRDefault="00333395" w:rsidP="00FA769B">
      <w:pPr>
        <w:pStyle w:val="Heading2"/>
      </w:pPr>
      <w:r>
        <w:lastRenderedPageBreak/>
        <w:t xml:space="preserve">Long </w:t>
      </w:r>
      <w:r w:rsidR="009D5A03">
        <w:t>Covid</w:t>
      </w:r>
    </w:p>
    <w:p w14:paraId="0CA0B275" w14:textId="21DF6F2F" w:rsidR="00FA769B" w:rsidRDefault="00FA769B" w:rsidP="00FA769B">
      <w:r w:rsidRPr="00306FB5">
        <w:t xml:space="preserve">As agreed by the committee in its workplan, this </w:t>
      </w:r>
      <w:r>
        <w:t xml:space="preserve">briefing </w:t>
      </w:r>
      <w:r w:rsidRPr="00306FB5">
        <w:t xml:space="preserve">provides a summary of </w:t>
      </w:r>
      <w:r w:rsidR="00375A2D">
        <w:t xml:space="preserve">medical and health </w:t>
      </w:r>
      <w:r w:rsidRPr="00306FB5">
        <w:t>evidence</w:t>
      </w:r>
      <w:r>
        <w:t xml:space="preserve"> </w:t>
      </w:r>
      <w:r w:rsidR="00D91020">
        <w:t xml:space="preserve">relating to </w:t>
      </w:r>
      <w:r w:rsidR="00BF42B8">
        <w:t>l</w:t>
      </w:r>
      <w:r w:rsidR="00D91020">
        <w:t xml:space="preserve">ong </w:t>
      </w:r>
      <w:r w:rsidR="009D5A03">
        <w:t>Covid</w:t>
      </w:r>
      <w:r w:rsidR="00D91020">
        <w:t>. Other elements</w:t>
      </w:r>
      <w:r w:rsidR="0086610A">
        <w:t xml:space="preserve"> of action taken </w:t>
      </w:r>
      <w:r w:rsidR="00375A2D">
        <w:t xml:space="preserve">are </w:t>
      </w:r>
      <w:r w:rsidR="009E0671">
        <w:t xml:space="preserve">being progressed </w:t>
      </w:r>
      <w:r w:rsidR="00375A2D">
        <w:t xml:space="preserve">and </w:t>
      </w:r>
      <w:r w:rsidR="00BF42B8">
        <w:t xml:space="preserve">the outcome </w:t>
      </w:r>
      <w:r w:rsidR="0086610A">
        <w:t>will be communicated to committee</w:t>
      </w:r>
      <w:r w:rsidR="00BF42B8">
        <w:t xml:space="preserve"> members</w:t>
      </w:r>
      <w:r w:rsidR="0086610A">
        <w:t xml:space="preserve"> outside of </w:t>
      </w:r>
      <w:r w:rsidR="00375A2D">
        <w:t xml:space="preserve">the meeting. </w:t>
      </w:r>
    </w:p>
    <w:p w14:paraId="5836D21E" w14:textId="77777777" w:rsidR="00CA30B5" w:rsidRDefault="00CA30B5" w:rsidP="00CA30B5">
      <w:r>
        <w:t xml:space="preserve">We are in the process of making FOI and general information requests to public and private pension schemes to gather information on the number of people who are applying for – and subsequently being granted or denied – ill health retirement for long Covid. </w:t>
      </w:r>
    </w:p>
    <w:p w14:paraId="6720F301" w14:textId="7D2BAE86" w:rsidR="003431CE" w:rsidRDefault="003431CE" w:rsidP="00CA30B5">
      <w:r>
        <w:t xml:space="preserve">It is anticipated that this information will </w:t>
      </w:r>
      <w:r w:rsidR="001752B2">
        <w:t xml:space="preserve">inform </w:t>
      </w:r>
      <w:r>
        <w:t xml:space="preserve">a </w:t>
      </w:r>
      <w:r w:rsidR="00D02D66">
        <w:t>section of the guide help</w:t>
      </w:r>
      <w:r w:rsidR="001752B2">
        <w:t>ing</w:t>
      </w:r>
      <w:r w:rsidR="00D02D66">
        <w:t xml:space="preserve"> reps and </w:t>
      </w:r>
      <w:proofErr w:type="gramStart"/>
      <w:r w:rsidR="00D02D66">
        <w:t>full time</w:t>
      </w:r>
      <w:proofErr w:type="gramEnd"/>
      <w:r w:rsidR="00D02D66">
        <w:t xml:space="preserve"> officers as they support members through the ill health retirement application process</w:t>
      </w:r>
      <w:r w:rsidR="00B047B7">
        <w:t xml:space="preserve">. </w:t>
      </w:r>
      <w:r w:rsidR="006D733D">
        <w:t xml:space="preserve">If the </w:t>
      </w:r>
      <w:r w:rsidR="00B047B7">
        <w:t xml:space="preserve">information from the FOI requests </w:t>
      </w:r>
      <w:r w:rsidR="006D733D">
        <w:t xml:space="preserve">is sufficiently noteworthy, we will use it in </w:t>
      </w:r>
      <w:r w:rsidR="00B047B7">
        <w:t xml:space="preserve">a </w:t>
      </w:r>
      <w:r w:rsidR="00FC641A">
        <w:t>press release to mark the launch of the guide</w:t>
      </w:r>
      <w:r w:rsidR="00B047B7">
        <w:t xml:space="preserve">. </w:t>
      </w:r>
    </w:p>
    <w:p w14:paraId="7499EE50" w14:textId="61AA53AF" w:rsidR="00BF7B14" w:rsidRDefault="00BF7B14" w:rsidP="00BF7B14">
      <w:r>
        <w:t>This paper is provided to inform a discussion on</w:t>
      </w:r>
      <w:r w:rsidR="001A2881">
        <w:t xml:space="preserve"> whether there is a need for </w:t>
      </w:r>
      <w:r w:rsidR="005759C5">
        <w:t xml:space="preserve">a separate or the same </w:t>
      </w:r>
      <w:r w:rsidR="001A2881">
        <w:t>guide</w:t>
      </w:r>
      <w:r w:rsidR="006D1407">
        <w:t xml:space="preserve"> – possibly aimed at different audiences – </w:t>
      </w:r>
      <w:r w:rsidR="001A2881">
        <w:t xml:space="preserve">to also address more general employment related </w:t>
      </w:r>
      <w:r w:rsidR="002663E0">
        <w:t>issues and, if so,</w:t>
      </w:r>
      <w:r>
        <w:t xml:space="preserve"> scope and detail of th</w:t>
      </w:r>
      <w:r w:rsidR="002663E0">
        <w:t>os</w:t>
      </w:r>
      <w:r>
        <w:t>e parts</w:t>
      </w:r>
      <w:r w:rsidR="002663E0">
        <w:t xml:space="preserve">. </w:t>
      </w:r>
    </w:p>
    <w:p w14:paraId="3D687CBF" w14:textId="18676077" w:rsidR="00B2469A" w:rsidRDefault="002F543D" w:rsidP="00FA769B">
      <w:r>
        <w:t>Despite being over five years on since the start of the Covid pandemic, t</w:t>
      </w:r>
      <w:r w:rsidR="00B37E71">
        <w:t xml:space="preserve">he evidence indicates that </w:t>
      </w:r>
      <w:r w:rsidR="005A155E">
        <w:t xml:space="preserve">the health of </w:t>
      </w:r>
      <w:proofErr w:type="gramStart"/>
      <w:r w:rsidR="005A155E">
        <w:t>a</w:t>
      </w:r>
      <w:r w:rsidR="00B37E71">
        <w:t xml:space="preserve"> large number of</w:t>
      </w:r>
      <w:proofErr w:type="gramEnd"/>
      <w:r w:rsidR="00B37E71">
        <w:t xml:space="preserve"> people </w:t>
      </w:r>
      <w:r w:rsidR="001917A9">
        <w:t>continues to be</w:t>
      </w:r>
      <w:r w:rsidR="005A155E">
        <w:t xml:space="preserve"> </w:t>
      </w:r>
      <w:r w:rsidR="00686BA1">
        <w:t>considerably</w:t>
      </w:r>
      <w:r w:rsidR="005A155E">
        <w:t xml:space="preserve"> affected by long Covid</w:t>
      </w:r>
      <w:r w:rsidR="001917A9">
        <w:t>. I</w:t>
      </w:r>
      <w:r w:rsidR="005A155E">
        <w:t xml:space="preserve">ll health retirement aside, </w:t>
      </w:r>
      <w:r w:rsidR="001917A9">
        <w:t xml:space="preserve">it </w:t>
      </w:r>
      <w:r w:rsidR="005A155E">
        <w:t xml:space="preserve">is likely to be </w:t>
      </w:r>
      <w:r w:rsidR="00686BA1">
        <w:t xml:space="preserve">significant </w:t>
      </w:r>
      <w:r w:rsidR="001917A9">
        <w:t xml:space="preserve">disability and equality issue in workplaces. </w:t>
      </w:r>
    </w:p>
    <w:p w14:paraId="7B69408D" w14:textId="7E2E0701" w:rsidR="00375A2D" w:rsidRPr="00550405" w:rsidRDefault="00E3175A" w:rsidP="00FA769B">
      <w:pPr>
        <w:rPr>
          <w:b/>
          <w:bCs/>
        </w:rPr>
      </w:pPr>
      <w:r>
        <w:rPr>
          <w:b/>
          <w:bCs/>
        </w:rPr>
        <w:t>Designation</w:t>
      </w:r>
      <w:r w:rsidR="00B7210C">
        <w:rPr>
          <w:b/>
          <w:bCs/>
        </w:rPr>
        <w:t xml:space="preserve"> and diagnosis</w:t>
      </w:r>
    </w:p>
    <w:p w14:paraId="50E2B1A2" w14:textId="47665A6D" w:rsidR="00333395" w:rsidRDefault="002B29E2" w:rsidP="00FA769B">
      <w:r>
        <w:t xml:space="preserve">Most people </w:t>
      </w:r>
      <w:r w:rsidR="00EC2D8D">
        <w:t xml:space="preserve">recover from acute </w:t>
      </w:r>
      <w:r w:rsidR="009D5A03">
        <w:t>Covid</w:t>
      </w:r>
      <w:r w:rsidR="00EC2D8D">
        <w:t xml:space="preserve"> 19 infection within one to two weeks of developing symptoms. </w:t>
      </w:r>
      <w:r w:rsidR="001500B3">
        <w:t xml:space="preserve">However, for some people the symptoms of the virus can last much longer, or new symptoms can develop. </w:t>
      </w:r>
    </w:p>
    <w:p w14:paraId="28E825F9" w14:textId="053C1AB4" w:rsidR="00060115" w:rsidRDefault="00B717DB" w:rsidP="00FA769B">
      <w:r w:rsidRPr="00B717DB">
        <w:t xml:space="preserve">Long </w:t>
      </w:r>
      <w:r w:rsidR="009D5A03">
        <w:t>Covid</w:t>
      </w:r>
      <w:r w:rsidRPr="00B717DB">
        <w:t>, also known as Post</w:t>
      </w:r>
      <w:r w:rsidR="00E578DF">
        <w:t xml:space="preserve"> </w:t>
      </w:r>
      <w:r w:rsidR="009D5A03">
        <w:t>Covid</w:t>
      </w:r>
      <w:r w:rsidR="00FB664F">
        <w:t>-</w:t>
      </w:r>
      <w:r w:rsidRPr="00B717DB">
        <w:t xml:space="preserve">19 </w:t>
      </w:r>
      <w:r w:rsidR="00974682">
        <w:t>Syndrome (PCS)</w:t>
      </w:r>
      <w:r w:rsidR="00C511B1">
        <w:t xml:space="preserve"> or </w:t>
      </w:r>
      <w:r w:rsidR="00974682">
        <w:t>Condition</w:t>
      </w:r>
      <w:r w:rsidR="00FB664F">
        <w:t xml:space="preserve"> (PCC)</w:t>
      </w:r>
      <w:r w:rsidRPr="00B717DB">
        <w:t xml:space="preserve">, is generally defined as symptoms persisting for three months or more after acute </w:t>
      </w:r>
      <w:r w:rsidR="009D5A03">
        <w:t>Covid</w:t>
      </w:r>
      <w:r w:rsidR="00DE116F">
        <w:t>-</w:t>
      </w:r>
      <w:r w:rsidRPr="00B717DB">
        <w:t>19.</w:t>
      </w:r>
      <w:r>
        <w:t xml:space="preserve"> </w:t>
      </w:r>
    </w:p>
    <w:p w14:paraId="29BB235A" w14:textId="3A118D68" w:rsidR="007355E7" w:rsidRDefault="00060115" w:rsidP="007355E7">
      <w:r>
        <w:t xml:space="preserve">There is some disagreement about the point at which symptoms </w:t>
      </w:r>
      <w:r w:rsidR="00F816D5">
        <w:t>of</w:t>
      </w:r>
      <w:r>
        <w:t xml:space="preserve"> acute Covid-19 become </w:t>
      </w:r>
      <w:r w:rsidR="005C7B86">
        <w:t>l</w:t>
      </w:r>
      <w:r w:rsidR="00684033">
        <w:t>ong Covid, which has implications for research and diagnosis</w:t>
      </w:r>
      <w:r w:rsidR="00F816D5">
        <w:t>. In the UK</w:t>
      </w:r>
      <w:r w:rsidR="00DE4C33">
        <w:t>, the</w:t>
      </w:r>
      <w:r w:rsidR="00CD1EB9" w:rsidRPr="007355E7">
        <w:t xml:space="preserve"> National Institute for Health and Clinical Excellence </w:t>
      </w:r>
      <w:r w:rsidR="00017C38" w:rsidRPr="007355E7">
        <w:t xml:space="preserve">(NICE) </w:t>
      </w:r>
      <w:hyperlink r:id="rId8" w:history="1">
        <w:r w:rsidR="002605D8" w:rsidRPr="002605D8">
          <w:rPr>
            <w:rStyle w:val="Hyperlink"/>
          </w:rPr>
          <w:t xml:space="preserve">defines </w:t>
        </w:r>
        <w:r w:rsidR="001778D6" w:rsidRPr="002605D8">
          <w:rPr>
            <w:rStyle w:val="Hyperlink"/>
          </w:rPr>
          <w:t>long Covid</w:t>
        </w:r>
      </w:hyperlink>
      <w:r w:rsidR="001778D6">
        <w:t xml:space="preserve"> </w:t>
      </w:r>
      <w:r w:rsidR="002605D8">
        <w:t>a</w:t>
      </w:r>
      <w:r w:rsidR="001778D6">
        <w:t xml:space="preserve">s symptoms lasting beyond 12 weeks, while </w:t>
      </w:r>
      <w:r w:rsidR="00CD1EB9" w:rsidRPr="007355E7">
        <w:t xml:space="preserve">signs and symptoms of </w:t>
      </w:r>
      <w:r w:rsidR="009D5A03">
        <w:t>Covid</w:t>
      </w:r>
      <w:r w:rsidR="00CD1EB9" w:rsidRPr="007355E7">
        <w:noBreakHyphen/>
        <w:t xml:space="preserve">19 </w:t>
      </w:r>
      <w:r w:rsidR="00017C38" w:rsidRPr="007355E7">
        <w:t xml:space="preserve">lasting </w:t>
      </w:r>
      <w:r w:rsidR="00E3175A">
        <w:t xml:space="preserve">between four and </w:t>
      </w:r>
      <w:r w:rsidR="00CD1EB9" w:rsidRPr="007355E7">
        <w:t>12 weeks</w:t>
      </w:r>
      <w:r w:rsidR="001778D6">
        <w:t xml:space="preserve"> is designated</w:t>
      </w:r>
      <w:r w:rsidR="00017C38" w:rsidRPr="007355E7">
        <w:t xml:space="preserve"> “o</w:t>
      </w:r>
      <w:r w:rsidR="00CD1EB9" w:rsidRPr="007355E7">
        <w:t xml:space="preserve">ngoing symptomatic </w:t>
      </w:r>
      <w:r w:rsidR="009D5A03">
        <w:t>Covid</w:t>
      </w:r>
      <w:r w:rsidR="00DE116F">
        <w:t>-</w:t>
      </w:r>
      <w:r w:rsidR="00CD1EB9" w:rsidRPr="007355E7">
        <w:t>19</w:t>
      </w:r>
      <w:r w:rsidR="00017C38" w:rsidRPr="007355E7">
        <w:t xml:space="preserve">”. </w:t>
      </w:r>
    </w:p>
    <w:p w14:paraId="288FAC3F" w14:textId="5A9777A9" w:rsidR="00B7210C" w:rsidRPr="00E3175A" w:rsidRDefault="00512C46" w:rsidP="00E3175A">
      <w:r>
        <w:t xml:space="preserve">There is no </w:t>
      </w:r>
      <w:r w:rsidRPr="00512C46">
        <w:t>definitive and available biomarker, </w:t>
      </w:r>
      <w:r w:rsidR="00487A5D">
        <w:t xml:space="preserve">so NICE recommends that </w:t>
      </w:r>
      <w:r w:rsidR="00C81D3E">
        <w:t xml:space="preserve">physicians </w:t>
      </w:r>
      <w:r w:rsidR="00487A5D" w:rsidRPr="00487A5D">
        <w:t>use a holistic, person-centred approach</w:t>
      </w:r>
      <w:r w:rsidR="00C81D3E">
        <w:t xml:space="preserve"> to assessment, </w:t>
      </w:r>
      <w:r w:rsidR="00AB4059">
        <w:t xml:space="preserve">which </w:t>
      </w:r>
      <w:r w:rsidR="00C81D3E">
        <w:t>i</w:t>
      </w:r>
      <w:r w:rsidR="00487A5D" w:rsidRPr="00487A5D">
        <w:t>nclud</w:t>
      </w:r>
      <w:r w:rsidR="00AB4059">
        <w:t xml:space="preserve">es </w:t>
      </w:r>
      <w:r w:rsidR="00C81D3E">
        <w:t>a</w:t>
      </w:r>
      <w:r w:rsidR="00487A5D" w:rsidRPr="00487A5D">
        <w:t xml:space="preserve"> comprehensive </w:t>
      </w:r>
      <w:r w:rsidR="00C81D3E">
        <w:t xml:space="preserve">review of </w:t>
      </w:r>
      <w:r w:rsidR="00487A5D" w:rsidRPr="00487A5D">
        <w:t>clinical history and examination involv</w:t>
      </w:r>
      <w:r w:rsidR="00D62A82">
        <w:t xml:space="preserve">ing </w:t>
      </w:r>
      <w:r w:rsidR="00487A5D" w:rsidRPr="00487A5D">
        <w:t>assess</w:t>
      </w:r>
      <w:r w:rsidR="005D70C9">
        <w:t>ment of</w:t>
      </w:r>
      <w:r w:rsidR="00487A5D" w:rsidRPr="00487A5D">
        <w:t xml:space="preserve"> physical, cognitive, psychological and psychiatric symptoms, as well as functional abilities.</w:t>
      </w:r>
      <w:r>
        <w:t xml:space="preserve"> </w:t>
      </w:r>
    </w:p>
    <w:p w14:paraId="295150C8" w14:textId="0EA2964C" w:rsidR="00E3175A" w:rsidRDefault="00E3175A" w:rsidP="007355E7">
      <w:pPr>
        <w:rPr>
          <w:b/>
          <w:bCs/>
        </w:rPr>
      </w:pPr>
      <w:r w:rsidRPr="00E3175A">
        <w:rPr>
          <w:b/>
          <w:bCs/>
        </w:rPr>
        <w:t>Symptoms</w:t>
      </w:r>
    </w:p>
    <w:p w14:paraId="7F259D51" w14:textId="5E49F9E2" w:rsidR="007A382B" w:rsidRDefault="00412414" w:rsidP="007A382B">
      <w:r w:rsidRPr="00412414">
        <w:t xml:space="preserve">More than 200 symptoms have been identified with </w:t>
      </w:r>
      <w:r w:rsidR="004D5708">
        <w:t>affected or are associated with</w:t>
      </w:r>
      <w:r w:rsidRPr="00412414">
        <w:t xml:space="preserve"> multiple organ systems</w:t>
      </w:r>
      <w:r w:rsidR="00303CBE">
        <w:t xml:space="preserve">. Symptoms are often overlapping and </w:t>
      </w:r>
      <w:r w:rsidR="007A382B" w:rsidRPr="00820815">
        <w:t>can fluctuate and change over time. </w:t>
      </w:r>
    </w:p>
    <w:p w14:paraId="09568C47" w14:textId="0925580D" w:rsidR="001016A2" w:rsidRDefault="007A382B" w:rsidP="007355E7">
      <w:r>
        <w:t>P</w:t>
      </w:r>
      <w:r w:rsidR="009712FD">
        <w:t>hysical symptoms</w:t>
      </w:r>
      <w:r>
        <w:t xml:space="preserve"> include</w:t>
      </w:r>
      <w:r w:rsidR="009712FD">
        <w:t xml:space="preserve"> </w:t>
      </w:r>
      <w:r w:rsidR="00D34C4A" w:rsidRPr="00D34C4A">
        <w:t>fatigue</w:t>
      </w:r>
      <w:r w:rsidR="006737ED">
        <w:t xml:space="preserve"> (which often becomes worse after </w:t>
      </w:r>
      <w:r w:rsidR="006737ED" w:rsidRPr="006737ED">
        <w:t>physical or mental exertion</w:t>
      </w:r>
      <w:r w:rsidR="006737ED">
        <w:t xml:space="preserve">, known as </w:t>
      </w:r>
      <w:r w:rsidR="006737ED" w:rsidRPr="006737ED">
        <w:t>post-exertional symptom exacerbation</w:t>
      </w:r>
      <w:r w:rsidR="006737ED">
        <w:t>)</w:t>
      </w:r>
      <w:r w:rsidR="00D34C4A" w:rsidRPr="00D34C4A">
        <w:t>, breathlessness, cough, chest pain, heart palpitations, fever, headache, muscle pain, gastrointestinal problems and loss of taste and smell. </w:t>
      </w:r>
    </w:p>
    <w:p w14:paraId="1961949B" w14:textId="009477B5" w:rsidR="00820815" w:rsidRDefault="009712FD" w:rsidP="007355E7">
      <w:r>
        <w:lastRenderedPageBreak/>
        <w:t>P</w:t>
      </w:r>
      <w:r w:rsidR="00820815" w:rsidRPr="00820815">
        <w:t xml:space="preserve">eople may </w:t>
      </w:r>
      <w:r>
        <w:t xml:space="preserve">also </w:t>
      </w:r>
      <w:r w:rsidR="00820815" w:rsidRPr="00820815">
        <w:t>experience a range of psychological and cognitive symptoms such as depression, anxiety, post-traumatic stress disorder (PTSD)</w:t>
      </w:r>
      <w:r w:rsidR="008A4C14">
        <w:t xml:space="preserve">, </w:t>
      </w:r>
      <w:r w:rsidR="00820815" w:rsidRPr="00820815">
        <w:t xml:space="preserve">brain fog </w:t>
      </w:r>
      <w:r w:rsidR="007A382B">
        <w:t>and</w:t>
      </w:r>
      <w:r w:rsidR="00820815" w:rsidRPr="00820815">
        <w:t xml:space="preserve"> other cognitive impairments. </w:t>
      </w:r>
    </w:p>
    <w:p w14:paraId="09CF9618" w14:textId="30F296D5" w:rsidR="0041479E" w:rsidRDefault="0041479E" w:rsidP="007355E7">
      <w:r w:rsidRPr="0041479E">
        <w:t xml:space="preserve">Many people with long </w:t>
      </w:r>
      <w:r w:rsidR="009D5A03">
        <w:t>Covid</w:t>
      </w:r>
      <w:r w:rsidRPr="0041479E">
        <w:t xml:space="preserve"> have pre-existing </w:t>
      </w:r>
      <w:r>
        <w:t xml:space="preserve">health </w:t>
      </w:r>
      <w:r w:rsidRPr="0041479E">
        <w:t>conditions</w:t>
      </w:r>
      <w:r w:rsidR="009D5A03">
        <w:t xml:space="preserve"> (such as </w:t>
      </w:r>
      <w:r w:rsidR="009D5A03" w:rsidRPr="009D5A03">
        <w:t>musculoskeletal pain, diabetes, poor mental health, chronic fatigue</w:t>
      </w:r>
      <w:r w:rsidR="009D5A03">
        <w:t xml:space="preserve"> etc) </w:t>
      </w:r>
      <w:r w:rsidRPr="0041479E">
        <w:t>which can exacerbate</w:t>
      </w:r>
      <w:r w:rsidR="009D5A03">
        <w:t xml:space="preserve"> </w:t>
      </w:r>
      <w:r w:rsidRPr="0041479E">
        <w:t>and be exacerbated by</w:t>
      </w:r>
      <w:r w:rsidR="009D5A03">
        <w:t xml:space="preserve"> </w:t>
      </w:r>
      <w:r w:rsidRPr="0041479E">
        <w:t xml:space="preserve">long </w:t>
      </w:r>
      <w:r w:rsidR="009D5A03">
        <w:t>Covid</w:t>
      </w:r>
    </w:p>
    <w:p w14:paraId="1883A777" w14:textId="042B84D0" w:rsidR="001016A2" w:rsidRDefault="001016A2" w:rsidP="007355E7">
      <w:r w:rsidRPr="001016A2">
        <w:t xml:space="preserve">There are many parallels between long </w:t>
      </w:r>
      <w:r w:rsidR="009D5A03">
        <w:t>Covid</w:t>
      </w:r>
      <w:r w:rsidRPr="001016A2">
        <w:t xml:space="preserve"> and other infection-associated chronic syndromes, including of other coronaviruses (</w:t>
      </w:r>
      <w:r w:rsidR="00D91303">
        <w:t xml:space="preserve">such as </w:t>
      </w:r>
      <w:r w:rsidRPr="001016A2">
        <w:t>SARS-CoV</w:t>
      </w:r>
      <w:r w:rsidR="00832564">
        <w:t>-1</w:t>
      </w:r>
      <w:r w:rsidRPr="001016A2">
        <w:t xml:space="preserve"> and MERS-</w:t>
      </w:r>
      <w:proofErr w:type="spellStart"/>
      <w:r w:rsidRPr="001016A2">
        <w:t>CoV</w:t>
      </w:r>
      <w:proofErr w:type="spellEnd"/>
      <w:r w:rsidRPr="001016A2">
        <w:t xml:space="preserve">), West Nile virus, Epstein–Barr virus and </w:t>
      </w:r>
      <w:proofErr w:type="spellStart"/>
      <w:r w:rsidRPr="001016A2">
        <w:t>myalgic</w:t>
      </w:r>
      <w:proofErr w:type="spellEnd"/>
      <w:r w:rsidRPr="001016A2">
        <w:t xml:space="preserve"> encephalomyelitis/chronic fatigue syndrome (ME/CFS).</w:t>
      </w:r>
    </w:p>
    <w:p w14:paraId="5C3B061B" w14:textId="77777777" w:rsidR="000008AA" w:rsidRDefault="000008AA" w:rsidP="000008AA">
      <w:pPr>
        <w:rPr>
          <w:b/>
          <w:bCs/>
        </w:rPr>
      </w:pPr>
      <w:r w:rsidRPr="00813953">
        <w:rPr>
          <w:b/>
          <w:bCs/>
        </w:rPr>
        <w:t xml:space="preserve">Prevalence </w:t>
      </w:r>
    </w:p>
    <w:p w14:paraId="5F6614C5" w14:textId="77777777" w:rsidR="000008AA" w:rsidRDefault="000008AA" w:rsidP="000008AA">
      <w:r>
        <w:t>There are a wide range of estimates of the portion of acute Covid-19 cases that progress to become long Covid. Th</w:t>
      </w:r>
      <w:r w:rsidRPr="00053FCA">
        <w:t>e</w:t>
      </w:r>
      <w:r>
        <w:t xml:space="preserve"> divergence is partly a consequence of the fact that</w:t>
      </w:r>
      <w:r w:rsidRPr="00053FCA">
        <w:t xml:space="preserve"> no definition of long </w:t>
      </w:r>
      <w:r>
        <w:t>Covid</w:t>
      </w:r>
      <w:r w:rsidRPr="00053FCA">
        <w:t xml:space="preserve"> includes a minimum level of symptom severity or functional impairment</w:t>
      </w:r>
      <w:r>
        <w:t>,</w:t>
      </w:r>
      <w:r w:rsidRPr="00053FCA">
        <w:t xml:space="preserve"> and definitions </w:t>
      </w:r>
      <w:r>
        <w:t xml:space="preserve">often </w:t>
      </w:r>
      <w:r w:rsidRPr="00053FCA">
        <w:t>diverge on symptom duration</w:t>
      </w:r>
      <w:r>
        <w:t>.</w:t>
      </w:r>
      <w:r w:rsidRPr="00053FCA">
        <w:t> </w:t>
      </w:r>
    </w:p>
    <w:p w14:paraId="6A37B709" w14:textId="014B0494" w:rsidR="000008AA" w:rsidRDefault="00773F4D" w:rsidP="000008AA">
      <w:r>
        <w:t xml:space="preserve">A recent </w:t>
      </w:r>
      <w:hyperlink r:id="rId9" w:history="1">
        <w:r w:rsidRPr="00AB3600">
          <w:rPr>
            <w:rStyle w:val="Hyperlink"/>
          </w:rPr>
          <w:t xml:space="preserve">“state-of-the-science summary” of </w:t>
        </w:r>
        <w:r w:rsidR="00105DFD">
          <w:rPr>
            <w:rStyle w:val="Hyperlink"/>
          </w:rPr>
          <w:t>l</w:t>
        </w:r>
        <w:r w:rsidRPr="00AB3600">
          <w:rPr>
            <w:rStyle w:val="Hyperlink"/>
          </w:rPr>
          <w:t>ong Covid in the Lancet</w:t>
        </w:r>
      </w:hyperlink>
      <w:r>
        <w:t xml:space="preserve"> </w:t>
      </w:r>
      <w:r w:rsidR="00852196">
        <w:t>says</w:t>
      </w:r>
      <w:r w:rsidR="000008AA">
        <w:t>: “</w:t>
      </w:r>
      <w:r w:rsidR="000008AA" w:rsidRPr="00D979A3">
        <w:t xml:space="preserve">Estimates of the incidence of long </w:t>
      </w:r>
      <w:r w:rsidR="000008AA">
        <w:t>Covid</w:t>
      </w:r>
      <w:r w:rsidR="000008AA" w:rsidRPr="00D979A3">
        <w:t xml:space="preserve"> after acute infection range from 50</w:t>
      </w:r>
      <w:r w:rsidR="000008AA">
        <w:t>–</w:t>
      </w:r>
      <w:r w:rsidR="000008AA" w:rsidRPr="00D979A3">
        <w:t>85% for unvaccinated people who were hospitalised, 10</w:t>
      </w:r>
      <w:r w:rsidR="000008AA">
        <w:t>–</w:t>
      </w:r>
      <w:r w:rsidR="000008AA" w:rsidRPr="00D979A3">
        <w:t>35% for unvaccinated people who were not hospitalised and 8</w:t>
      </w:r>
      <w:r w:rsidR="000008AA">
        <w:t>–</w:t>
      </w:r>
      <w:r w:rsidR="000008AA" w:rsidRPr="00D979A3">
        <w:t>12% for vaccinated individuals.</w:t>
      </w:r>
      <w:r w:rsidR="000008AA">
        <w:t>”</w:t>
      </w:r>
    </w:p>
    <w:p w14:paraId="098D5384" w14:textId="26895B9D" w:rsidR="000008AA" w:rsidRDefault="000008AA" w:rsidP="000008AA">
      <w:r>
        <w:t xml:space="preserve">In April 2024, the Office for National Statistics and UK Health Security Agency released results from the </w:t>
      </w:r>
      <w:r w:rsidRPr="00571162">
        <w:t>Winter Coronavirus (</w:t>
      </w:r>
      <w:r>
        <w:t>Covid</w:t>
      </w:r>
      <w:r w:rsidRPr="00571162">
        <w:t>-19) Infection Study</w:t>
      </w:r>
      <w:r>
        <w:t xml:space="preserve"> (Winter CIS)</w:t>
      </w:r>
      <w:r w:rsidR="00977B76">
        <w:t xml:space="preserve">, </w:t>
      </w:r>
      <w:r>
        <w:t xml:space="preserve">a survey of households in England and Scotland that asked a range of questions about Covid, including long Covid symptoms. Confusingly, the ONS defined long Covid as symptoms lasting four or more weeks, but it did release some data </w:t>
      </w:r>
      <w:r w:rsidR="006D1574">
        <w:t>related to</w:t>
      </w:r>
      <w:r>
        <w:t xml:space="preserve"> cases lasting beyond 12 weeks. </w:t>
      </w:r>
    </w:p>
    <w:p w14:paraId="7675BC91" w14:textId="25EB1247" w:rsidR="000008AA" w:rsidRDefault="000008AA" w:rsidP="000008AA">
      <w:r>
        <w:t xml:space="preserve">The </w:t>
      </w:r>
      <w:r w:rsidRPr="00571162">
        <w:t xml:space="preserve">Winter </w:t>
      </w:r>
      <w:r>
        <w:t xml:space="preserve">CIS estimated that between </w:t>
      </w:r>
      <w:r w:rsidRPr="001E42AE">
        <w:t>6 February to 7 March 2024</w:t>
      </w:r>
      <w:r>
        <w:t xml:space="preserve">, 1.9% </w:t>
      </w:r>
      <w:r w:rsidRPr="001E42AE">
        <w:t xml:space="preserve">of individuals in England and Scotland </w:t>
      </w:r>
      <w:r>
        <w:t xml:space="preserve">reported </w:t>
      </w:r>
      <w:r w:rsidRPr="001E42AE">
        <w:t xml:space="preserve">experiencing </w:t>
      </w:r>
      <w:r>
        <w:t xml:space="preserve">Covid symptoms for more than 12 weeks (3.3% for more than four weeks). It </w:t>
      </w:r>
      <w:r w:rsidR="00CE4715">
        <w:t xml:space="preserve">did not ask solely for </w:t>
      </w:r>
      <w:r w:rsidR="00CE4715" w:rsidRPr="00475A65">
        <w:t>clinically diagnosed</w:t>
      </w:r>
      <w:r w:rsidR="00CE4715">
        <w:t xml:space="preserve"> cases</w:t>
      </w:r>
      <w:r>
        <w:t xml:space="preserve">. </w:t>
      </w:r>
    </w:p>
    <w:p w14:paraId="51E85996" w14:textId="31FD9193" w:rsidR="004C4BAA" w:rsidRDefault="003926FD" w:rsidP="007355E7">
      <w:pPr>
        <w:rPr>
          <w:b/>
          <w:bCs/>
        </w:rPr>
      </w:pPr>
      <w:r>
        <w:rPr>
          <w:b/>
          <w:bCs/>
        </w:rPr>
        <w:t>Course and d</w:t>
      </w:r>
      <w:r w:rsidR="004C4BAA" w:rsidRPr="004C4BAA">
        <w:rPr>
          <w:b/>
          <w:bCs/>
        </w:rPr>
        <w:t>uration</w:t>
      </w:r>
    </w:p>
    <w:p w14:paraId="03F03EF5" w14:textId="63F81540" w:rsidR="00DC5AE5" w:rsidRDefault="009F0B04" w:rsidP="007355E7">
      <w:r w:rsidRPr="009F0B04">
        <w:t xml:space="preserve">The course of long </w:t>
      </w:r>
      <w:r w:rsidR="009D5A03">
        <w:t>Covid</w:t>
      </w:r>
      <w:r w:rsidRPr="009F0B04">
        <w:t xml:space="preserve"> varies</w:t>
      </w:r>
      <w:r w:rsidR="0097146D">
        <w:t xml:space="preserve"> from person to person</w:t>
      </w:r>
      <w:r w:rsidR="00CE79A2">
        <w:t xml:space="preserve">, </w:t>
      </w:r>
      <w:r w:rsidR="00037CC6">
        <w:t>and</w:t>
      </w:r>
      <w:r w:rsidR="00CE79A2">
        <w:t xml:space="preserve"> </w:t>
      </w:r>
      <w:r w:rsidR="00DC5AE5">
        <w:t>r</w:t>
      </w:r>
      <w:r w:rsidRPr="009F0B04">
        <w:t>ecovery can progress at different rates</w:t>
      </w:r>
      <w:r w:rsidR="00037CC6">
        <w:t>. S</w:t>
      </w:r>
      <w:r w:rsidRPr="009F0B04">
        <w:t xml:space="preserve">ome people experience periods of apparent recovery followed by relapse. </w:t>
      </w:r>
    </w:p>
    <w:p w14:paraId="0A3F9D5C" w14:textId="7C733E95" w:rsidR="00DD515C" w:rsidRDefault="00817A8F" w:rsidP="00DD515C">
      <w:r>
        <w:t xml:space="preserve">The </w:t>
      </w:r>
      <w:r w:rsidRPr="00571162">
        <w:t xml:space="preserve">Winter </w:t>
      </w:r>
      <w:r>
        <w:t>CIS estimated that b</w:t>
      </w:r>
      <w:r w:rsidR="004146D6">
        <w:t xml:space="preserve">etween </w:t>
      </w:r>
      <w:r w:rsidR="004146D6" w:rsidRPr="001E42AE">
        <w:t>6 February to 7 March 2024</w:t>
      </w:r>
      <w:r w:rsidR="004146D6">
        <w:t>, o</w:t>
      </w:r>
      <w:r w:rsidR="00DD515C" w:rsidRPr="00D37076">
        <w:t>f those who</w:t>
      </w:r>
      <w:r w:rsidR="00DD515C">
        <w:t xml:space="preserve"> </w:t>
      </w:r>
      <w:r w:rsidR="00F31C5D">
        <w:t xml:space="preserve">had </w:t>
      </w:r>
      <w:r w:rsidR="00CE4715">
        <w:t>self-identified long Covid</w:t>
      </w:r>
      <w:r w:rsidR="00F31C5D">
        <w:t xml:space="preserve"> and </w:t>
      </w:r>
      <w:r w:rsidR="00DD515C" w:rsidRPr="00D37076">
        <w:t>provided a date</w:t>
      </w:r>
      <w:r w:rsidR="00DD515C">
        <w:t xml:space="preserve"> for when they </w:t>
      </w:r>
      <w:r w:rsidR="00DD515C" w:rsidRPr="00867CD2">
        <w:t>first experience</w:t>
      </w:r>
      <w:r w:rsidR="00DD515C">
        <w:t>d</w:t>
      </w:r>
      <w:r w:rsidR="00DD515C" w:rsidRPr="00867CD2">
        <w:t xml:space="preserve"> symptoms</w:t>
      </w:r>
      <w:r w:rsidR="00DD515C">
        <w:t xml:space="preserve">: </w:t>
      </w:r>
    </w:p>
    <w:p w14:paraId="4584908A" w14:textId="3E8E3C94" w:rsidR="00DD515C" w:rsidRDefault="00DD515C" w:rsidP="00DD515C">
      <w:pPr>
        <w:pStyle w:val="ListParagraph"/>
        <w:numPr>
          <w:ilvl w:val="0"/>
          <w:numId w:val="26"/>
        </w:numPr>
        <w:spacing w:before="0"/>
      </w:pPr>
      <w:r w:rsidRPr="00D37076">
        <w:t xml:space="preserve">87.3% had experienced </w:t>
      </w:r>
      <w:r w:rsidR="00BC7E40">
        <w:t xml:space="preserve">those </w:t>
      </w:r>
      <w:r w:rsidRPr="00D37076">
        <w:t xml:space="preserve">symptoms at least 12 weeks </w:t>
      </w:r>
      <w:proofErr w:type="gramStart"/>
      <w:r w:rsidRPr="00D37076">
        <w:t>previously</w:t>
      </w:r>
      <w:r>
        <w:t>;</w:t>
      </w:r>
      <w:proofErr w:type="gramEnd"/>
      <w:r w:rsidRPr="00D37076">
        <w:t xml:space="preserve"> </w:t>
      </w:r>
    </w:p>
    <w:p w14:paraId="41F41F96" w14:textId="1FE2E56F" w:rsidR="008267B4" w:rsidRDefault="008267B4" w:rsidP="00DD515C">
      <w:pPr>
        <w:pStyle w:val="ListParagraph"/>
        <w:numPr>
          <w:ilvl w:val="0"/>
          <w:numId w:val="26"/>
        </w:numPr>
        <w:spacing w:before="0"/>
      </w:pPr>
      <w:r>
        <w:t xml:space="preserve">78.5% </w:t>
      </w:r>
      <w:r w:rsidR="00A338D6">
        <w:t xml:space="preserve">at least </w:t>
      </w:r>
      <w:r>
        <w:t xml:space="preserve">six months </w:t>
      </w:r>
      <w:r w:rsidRPr="00D37076">
        <w:t>previously</w:t>
      </w:r>
    </w:p>
    <w:p w14:paraId="09A9C7DE" w14:textId="07B691A5" w:rsidR="00DD515C" w:rsidRDefault="00DD515C" w:rsidP="00DD515C">
      <w:pPr>
        <w:pStyle w:val="ListParagraph"/>
        <w:numPr>
          <w:ilvl w:val="0"/>
          <w:numId w:val="26"/>
        </w:numPr>
      </w:pPr>
      <w:r w:rsidRPr="00D37076">
        <w:t xml:space="preserve">71.1% </w:t>
      </w:r>
      <w:r w:rsidR="00A338D6">
        <w:t xml:space="preserve">at least </w:t>
      </w:r>
      <w:r w:rsidRPr="00D37076">
        <w:t xml:space="preserve">one year </w:t>
      </w:r>
      <w:proofErr w:type="gramStart"/>
      <w:r w:rsidRPr="00D37076">
        <w:t>previously</w:t>
      </w:r>
      <w:r>
        <w:t>;</w:t>
      </w:r>
      <w:proofErr w:type="gramEnd"/>
      <w:r w:rsidRPr="00D37076">
        <w:t xml:space="preserve"> </w:t>
      </w:r>
    </w:p>
    <w:p w14:paraId="516538EF" w14:textId="2E9BEA94" w:rsidR="00DD515C" w:rsidRDefault="00DD515C" w:rsidP="00DD515C">
      <w:pPr>
        <w:pStyle w:val="ListParagraph"/>
        <w:numPr>
          <w:ilvl w:val="0"/>
          <w:numId w:val="26"/>
        </w:numPr>
      </w:pPr>
      <w:r w:rsidRPr="00D37076">
        <w:t>51.3% at least two years previously</w:t>
      </w:r>
      <w:r>
        <w:t xml:space="preserve">; </w:t>
      </w:r>
      <w:r w:rsidRPr="00D37076">
        <w:t xml:space="preserve">and </w:t>
      </w:r>
    </w:p>
    <w:p w14:paraId="334605E3" w14:textId="5E8897BB" w:rsidR="00DD515C" w:rsidRDefault="00DD515C" w:rsidP="00DD515C">
      <w:pPr>
        <w:pStyle w:val="ListParagraph"/>
        <w:numPr>
          <w:ilvl w:val="0"/>
          <w:numId w:val="26"/>
        </w:numPr>
      </w:pPr>
      <w:r w:rsidRPr="00D37076">
        <w:t>30.6% at least three years previously</w:t>
      </w:r>
      <w:r>
        <w:t xml:space="preserve">. </w:t>
      </w:r>
    </w:p>
    <w:p w14:paraId="43C73B8F" w14:textId="46EA0919" w:rsidR="00C1285C" w:rsidRDefault="00DC4ED2" w:rsidP="00C1285C">
      <w:r>
        <w:t>Long</w:t>
      </w:r>
      <w:r w:rsidRPr="001A14FD">
        <w:t xml:space="preserve"> </w:t>
      </w:r>
      <w:r>
        <w:t>Covid</w:t>
      </w:r>
      <w:r w:rsidRPr="001A14FD">
        <w:t xml:space="preserve"> symptoms </w:t>
      </w:r>
      <w:r>
        <w:t>(4</w:t>
      </w:r>
      <w:r w:rsidR="000909CB">
        <w:t xml:space="preserve"> plus </w:t>
      </w:r>
      <w:r>
        <w:t xml:space="preserve">weeks) </w:t>
      </w:r>
      <w:r w:rsidRPr="001A14FD">
        <w:t xml:space="preserve">adversely affected the day-to-day activities of </w:t>
      </w:r>
      <w:r>
        <w:t xml:space="preserve">an estimated </w:t>
      </w:r>
      <w:r w:rsidRPr="001A14FD">
        <w:t>1.</w:t>
      </w:r>
      <w:r w:rsidR="00B341D7">
        <w:t>48</w:t>
      </w:r>
      <w:r w:rsidRPr="001A14FD">
        <w:t xml:space="preserve"> million people (74.7% of those with self-reported long </w:t>
      </w:r>
      <w:r>
        <w:t>Covid</w:t>
      </w:r>
      <w:r w:rsidRPr="001A14FD">
        <w:t>)</w:t>
      </w:r>
      <w:r>
        <w:t xml:space="preserve">. </w:t>
      </w:r>
      <w:r w:rsidRPr="001A14FD">
        <w:t xml:space="preserve">381,000 (19.2% of those with self-reported long </w:t>
      </w:r>
      <w:r>
        <w:t>Covid</w:t>
      </w:r>
      <w:r w:rsidRPr="001A14FD">
        <w:t>) report</w:t>
      </w:r>
      <w:r>
        <w:t>ed</w:t>
      </w:r>
      <w:r w:rsidRPr="001A14FD">
        <w:t xml:space="preserve"> their ability to undertake day-to-day activities had been limited </w:t>
      </w:r>
      <w:r w:rsidR="00615D63">
        <w:t>“</w:t>
      </w:r>
      <w:r w:rsidRPr="001A14FD">
        <w:t>a lot</w:t>
      </w:r>
      <w:r>
        <w:t>”</w:t>
      </w:r>
      <w:r w:rsidRPr="001A14FD">
        <w:t>.</w:t>
      </w:r>
      <w:r>
        <w:t xml:space="preserve"> </w:t>
      </w:r>
      <w:r w:rsidR="00C1285C" w:rsidRPr="00094D6C">
        <w:t>In addition, 56.4% reported that symptoms worsen following "mental and/or physical effort".</w:t>
      </w:r>
      <w:r w:rsidR="00C1285C">
        <w:t xml:space="preserve"> </w:t>
      </w:r>
    </w:p>
    <w:p w14:paraId="4A24A2B3" w14:textId="0414E0CF" w:rsidR="00043B82" w:rsidRDefault="008F74FF" w:rsidP="00DC4ED2">
      <w:r>
        <w:lastRenderedPageBreak/>
        <w:t xml:space="preserve">Of those who provided a date for the onset of their symptoms, </w:t>
      </w:r>
      <w:r w:rsidR="00630E42">
        <w:t xml:space="preserve">36.7% of </w:t>
      </w:r>
      <w:r w:rsidR="00465E0E">
        <w:t xml:space="preserve">those </w:t>
      </w:r>
      <w:r w:rsidR="00C515C5">
        <w:t xml:space="preserve">who had experienced symptoms for more than two years </w:t>
      </w:r>
      <w:r w:rsidR="00630E42">
        <w:t xml:space="preserve">said </w:t>
      </w:r>
      <w:r w:rsidR="00465E0E">
        <w:t xml:space="preserve">it </w:t>
      </w:r>
      <w:r w:rsidR="00922E6B" w:rsidRPr="00922E6B">
        <w:t>reduce</w:t>
      </w:r>
      <w:r w:rsidR="00465E0E">
        <w:t>d</w:t>
      </w:r>
      <w:r w:rsidR="00922E6B" w:rsidRPr="00922E6B">
        <w:t xml:space="preserve"> </w:t>
      </w:r>
      <w:r w:rsidR="00922E6B">
        <w:t>their</w:t>
      </w:r>
      <w:r w:rsidR="00922E6B" w:rsidRPr="00922E6B">
        <w:t xml:space="preserve"> ability to carry out day-to-day activities</w:t>
      </w:r>
      <w:r w:rsidR="00922E6B">
        <w:t xml:space="preserve"> “a lot”. </w:t>
      </w:r>
    </w:p>
    <w:p w14:paraId="37279EFC" w14:textId="77777777" w:rsidR="000F01F7" w:rsidRDefault="000F01F7" w:rsidP="00DC4ED2"/>
    <w:tbl>
      <w:tblPr>
        <w:tblStyle w:val="TableGridLight1"/>
        <w:tblW w:w="8642" w:type="dxa"/>
        <w:tblLook w:val="04A0" w:firstRow="1" w:lastRow="0" w:firstColumn="1" w:lastColumn="0" w:noHBand="0" w:noVBand="1"/>
      </w:tblPr>
      <w:tblGrid>
        <w:gridCol w:w="2263"/>
        <w:gridCol w:w="2552"/>
        <w:gridCol w:w="3827"/>
      </w:tblGrid>
      <w:tr w:rsidR="00FB0B55" w:rsidRPr="00FA6349" w14:paraId="2C3010AC" w14:textId="77777777" w:rsidTr="00D33F96">
        <w:trPr>
          <w:trHeight w:val="499"/>
        </w:trPr>
        <w:tc>
          <w:tcPr>
            <w:tcW w:w="2263" w:type="dxa"/>
            <w:noWrap/>
          </w:tcPr>
          <w:p w14:paraId="395D9002" w14:textId="3A999F6A" w:rsidR="00FB0B55" w:rsidRPr="00FB0B55" w:rsidRDefault="008B36EA" w:rsidP="00FB0B55">
            <w:r>
              <w:t>Limits daily activities</w:t>
            </w:r>
          </w:p>
        </w:tc>
        <w:tc>
          <w:tcPr>
            <w:tcW w:w="2552" w:type="dxa"/>
            <w:noWrap/>
          </w:tcPr>
          <w:p w14:paraId="556A6A5A" w14:textId="78F395B4" w:rsidR="00FB0B55" w:rsidRPr="00FB0B55" w:rsidRDefault="00D367B4" w:rsidP="00FB0B55">
            <w:r>
              <w:t>Symptom d</w:t>
            </w:r>
            <w:r w:rsidR="008B36EA">
              <w:t>uration</w:t>
            </w:r>
          </w:p>
        </w:tc>
        <w:tc>
          <w:tcPr>
            <w:tcW w:w="3827" w:type="dxa"/>
          </w:tcPr>
          <w:p w14:paraId="6E7EDF6D" w14:textId="7D49B65F" w:rsidR="00FB0B55" w:rsidRPr="00FB0B55" w:rsidRDefault="00FB0B55" w:rsidP="00FB0B55">
            <w:r w:rsidRPr="00FB0B55">
              <w:t>Percentage</w:t>
            </w:r>
            <w:r w:rsidR="00D367B4">
              <w:t xml:space="preserve"> of</w:t>
            </w:r>
            <w:r w:rsidRPr="00FB0B55">
              <w:t xml:space="preserve"> </w:t>
            </w:r>
            <w:r w:rsidR="00D367B4">
              <w:t xml:space="preserve">those </w:t>
            </w:r>
            <w:r w:rsidR="00D367B4">
              <w:br/>
              <w:t xml:space="preserve">with </w:t>
            </w:r>
            <w:r w:rsidRPr="00FB0B55">
              <w:t>self-reported long C</w:t>
            </w:r>
            <w:r w:rsidR="00D367B4">
              <w:t xml:space="preserve">ovid </w:t>
            </w:r>
          </w:p>
        </w:tc>
      </w:tr>
      <w:tr w:rsidR="00FB0B55" w:rsidRPr="00FA6349" w14:paraId="21D08DC2" w14:textId="77777777" w:rsidTr="00D33F96">
        <w:trPr>
          <w:trHeight w:val="315"/>
        </w:trPr>
        <w:tc>
          <w:tcPr>
            <w:tcW w:w="2263" w:type="dxa"/>
            <w:noWrap/>
            <w:hideMark/>
          </w:tcPr>
          <w:p w14:paraId="7B2FA037" w14:textId="77777777" w:rsidR="00FB0B55" w:rsidRPr="00FA6349" w:rsidRDefault="00FB0B55" w:rsidP="00FB0B55">
            <w:r w:rsidRPr="00FA6349">
              <w:t>Not at all</w:t>
            </w:r>
          </w:p>
        </w:tc>
        <w:tc>
          <w:tcPr>
            <w:tcW w:w="2552" w:type="dxa"/>
            <w:noWrap/>
            <w:hideMark/>
          </w:tcPr>
          <w:p w14:paraId="6D224FF2" w14:textId="77777777" w:rsidR="00FB0B55" w:rsidRPr="00FA6349" w:rsidRDefault="00FB0B55" w:rsidP="00FB0B55">
            <w:r w:rsidRPr="00FA6349">
              <w:t>12 to 103 weeks</w:t>
            </w:r>
          </w:p>
        </w:tc>
        <w:tc>
          <w:tcPr>
            <w:tcW w:w="3827" w:type="dxa"/>
          </w:tcPr>
          <w:p w14:paraId="6161D27F" w14:textId="0165767D" w:rsidR="00FB0B55" w:rsidRPr="00FB0B55" w:rsidRDefault="00FB0B55" w:rsidP="00FB0B55">
            <w:r w:rsidRPr="00FA6349">
              <w:t>22.2</w:t>
            </w:r>
          </w:p>
        </w:tc>
      </w:tr>
      <w:tr w:rsidR="00FB0B55" w:rsidRPr="00FA6349" w14:paraId="30A88779" w14:textId="77777777" w:rsidTr="00D33F96">
        <w:trPr>
          <w:trHeight w:val="315"/>
        </w:trPr>
        <w:tc>
          <w:tcPr>
            <w:tcW w:w="2263" w:type="dxa"/>
            <w:noWrap/>
            <w:hideMark/>
          </w:tcPr>
          <w:p w14:paraId="58DAFE0D" w14:textId="77777777" w:rsidR="00FB0B55" w:rsidRPr="00FA6349" w:rsidRDefault="00FB0B55" w:rsidP="00FB0B55">
            <w:r w:rsidRPr="00FA6349">
              <w:t>Not at all</w:t>
            </w:r>
          </w:p>
        </w:tc>
        <w:tc>
          <w:tcPr>
            <w:tcW w:w="2552" w:type="dxa"/>
            <w:noWrap/>
            <w:hideMark/>
          </w:tcPr>
          <w:p w14:paraId="645129DD" w14:textId="77777777" w:rsidR="00FB0B55" w:rsidRPr="00FA6349" w:rsidRDefault="00FB0B55" w:rsidP="00FB0B55">
            <w:r w:rsidRPr="00FA6349">
              <w:t>104 weeks and over</w:t>
            </w:r>
          </w:p>
        </w:tc>
        <w:tc>
          <w:tcPr>
            <w:tcW w:w="3827" w:type="dxa"/>
          </w:tcPr>
          <w:p w14:paraId="5A54CA81" w14:textId="2C7F4180" w:rsidR="00FB0B55" w:rsidRPr="00FB0B55" w:rsidRDefault="00FB0B55" w:rsidP="00FB0B55">
            <w:r w:rsidRPr="00FA6349">
              <w:t>39.0</w:t>
            </w:r>
          </w:p>
        </w:tc>
      </w:tr>
      <w:tr w:rsidR="00FB0B55" w:rsidRPr="00FA6349" w14:paraId="03B41EBB" w14:textId="77777777" w:rsidTr="00D33F96">
        <w:trPr>
          <w:trHeight w:val="315"/>
        </w:trPr>
        <w:tc>
          <w:tcPr>
            <w:tcW w:w="2263" w:type="dxa"/>
            <w:noWrap/>
            <w:hideMark/>
          </w:tcPr>
          <w:p w14:paraId="24EF4CD8" w14:textId="77777777" w:rsidR="00FB0B55" w:rsidRPr="00FA6349" w:rsidRDefault="00FB0B55" w:rsidP="00FB0B55">
            <w:r w:rsidRPr="00FA6349">
              <w:t>A little</w:t>
            </w:r>
          </w:p>
        </w:tc>
        <w:tc>
          <w:tcPr>
            <w:tcW w:w="2552" w:type="dxa"/>
            <w:noWrap/>
            <w:hideMark/>
          </w:tcPr>
          <w:p w14:paraId="0B63B8D0" w14:textId="77777777" w:rsidR="00FB0B55" w:rsidRPr="00FA6349" w:rsidRDefault="00FB0B55" w:rsidP="00FB0B55">
            <w:r w:rsidRPr="00FA6349">
              <w:t>12 to 103 weeks</w:t>
            </w:r>
          </w:p>
        </w:tc>
        <w:tc>
          <w:tcPr>
            <w:tcW w:w="3827" w:type="dxa"/>
          </w:tcPr>
          <w:p w14:paraId="2E2865C3" w14:textId="1419AE3A" w:rsidR="00FB0B55" w:rsidRPr="00FB0B55" w:rsidRDefault="00FB0B55" w:rsidP="00FB0B55">
            <w:r w:rsidRPr="00FA6349">
              <w:t>18.7</w:t>
            </w:r>
          </w:p>
        </w:tc>
      </w:tr>
      <w:tr w:rsidR="00FB0B55" w:rsidRPr="00FA6349" w14:paraId="463F824E" w14:textId="77777777" w:rsidTr="00D33F96">
        <w:trPr>
          <w:trHeight w:val="315"/>
        </w:trPr>
        <w:tc>
          <w:tcPr>
            <w:tcW w:w="2263" w:type="dxa"/>
            <w:noWrap/>
            <w:hideMark/>
          </w:tcPr>
          <w:p w14:paraId="300BABC6" w14:textId="77777777" w:rsidR="00FB0B55" w:rsidRPr="00FA6349" w:rsidRDefault="00FB0B55" w:rsidP="00FB0B55">
            <w:r w:rsidRPr="00FA6349">
              <w:t>A little</w:t>
            </w:r>
          </w:p>
        </w:tc>
        <w:tc>
          <w:tcPr>
            <w:tcW w:w="2552" w:type="dxa"/>
            <w:noWrap/>
            <w:hideMark/>
          </w:tcPr>
          <w:p w14:paraId="4AC99B7A" w14:textId="77777777" w:rsidR="00FB0B55" w:rsidRPr="00FA6349" w:rsidRDefault="00FB0B55" w:rsidP="00FB0B55">
            <w:r w:rsidRPr="00FA6349">
              <w:t>104 weeks and over</w:t>
            </w:r>
          </w:p>
        </w:tc>
        <w:tc>
          <w:tcPr>
            <w:tcW w:w="3827" w:type="dxa"/>
          </w:tcPr>
          <w:p w14:paraId="77EE07BA" w14:textId="383DB15D" w:rsidR="00FB0B55" w:rsidRPr="00FB0B55" w:rsidRDefault="00FB0B55" w:rsidP="00FB0B55">
            <w:r w:rsidRPr="00FA6349">
              <w:t>32.4</w:t>
            </w:r>
          </w:p>
        </w:tc>
      </w:tr>
      <w:tr w:rsidR="00FB0B55" w:rsidRPr="00FA6349" w14:paraId="7FBCDADB" w14:textId="77777777" w:rsidTr="00D33F96">
        <w:trPr>
          <w:trHeight w:val="315"/>
        </w:trPr>
        <w:tc>
          <w:tcPr>
            <w:tcW w:w="2263" w:type="dxa"/>
            <w:noWrap/>
            <w:hideMark/>
          </w:tcPr>
          <w:p w14:paraId="1328B5EB" w14:textId="77777777" w:rsidR="00FB0B55" w:rsidRPr="00FA6349" w:rsidRDefault="00FB0B55" w:rsidP="00FB0B55">
            <w:r w:rsidRPr="00FA6349">
              <w:t>A lot</w:t>
            </w:r>
          </w:p>
        </w:tc>
        <w:tc>
          <w:tcPr>
            <w:tcW w:w="2552" w:type="dxa"/>
            <w:noWrap/>
            <w:hideMark/>
          </w:tcPr>
          <w:p w14:paraId="1BD7C207" w14:textId="77777777" w:rsidR="00FB0B55" w:rsidRPr="00FA6349" w:rsidRDefault="00FB0B55" w:rsidP="00FB0B55">
            <w:r w:rsidRPr="00FA6349">
              <w:t>12 to 103 weeks</w:t>
            </w:r>
          </w:p>
        </w:tc>
        <w:tc>
          <w:tcPr>
            <w:tcW w:w="3827" w:type="dxa"/>
          </w:tcPr>
          <w:p w14:paraId="5B4AD50E" w14:textId="2E81348B" w:rsidR="00FB0B55" w:rsidRPr="00FB0B55" w:rsidRDefault="00FB0B55" w:rsidP="00FB0B55">
            <w:r w:rsidRPr="00FA6349">
              <w:t>29.1</w:t>
            </w:r>
          </w:p>
        </w:tc>
      </w:tr>
      <w:tr w:rsidR="00FB0B55" w:rsidRPr="00FA6349" w14:paraId="1DD3F442" w14:textId="77777777" w:rsidTr="00D33F96">
        <w:trPr>
          <w:trHeight w:val="315"/>
        </w:trPr>
        <w:tc>
          <w:tcPr>
            <w:tcW w:w="2263" w:type="dxa"/>
            <w:noWrap/>
            <w:hideMark/>
          </w:tcPr>
          <w:p w14:paraId="0B24EF16" w14:textId="77777777" w:rsidR="00FB0B55" w:rsidRPr="00FA6349" w:rsidRDefault="00FB0B55" w:rsidP="00FB0B55">
            <w:r w:rsidRPr="00FA6349">
              <w:t>A lot</w:t>
            </w:r>
          </w:p>
        </w:tc>
        <w:tc>
          <w:tcPr>
            <w:tcW w:w="2552" w:type="dxa"/>
            <w:noWrap/>
            <w:hideMark/>
          </w:tcPr>
          <w:p w14:paraId="22F4C548" w14:textId="77777777" w:rsidR="00FB0B55" w:rsidRPr="00FA6349" w:rsidRDefault="00FB0B55" w:rsidP="00FB0B55">
            <w:r w:rsidRPr="00FA6349">
              <w:t>104 weeks and over</w:t>
            </w:r>
          </w:p>
        </w:tc>
        <w:tc>
          <w:tcPr>
            <w:tcW w:w="3827" w:type="dxa"/>
          </w:tcPr>
          <w:p w14:paraId="4F431A04" w14:textId="2DC97603" w:rsidR="00FB0B55" w:rsidRPr="00FB0B55" w:rsidRDefault="00FB0B55" w:rsidP="00FB0B55">
            <w:r w:rsidRPr="00FA6349">
              <w:t>36.7</w:t>
            </w:r>
          </w:p>
        </w:tc>
      </w:tr>
    </w:tbl>
    <w:p w14:paraId="317BC42A" w14:textId="5C029FE2" w:rsidR="009F0B04" w:rsidRPr="009F0B04" w:rsidRDefault="00773F4D" w:rsidP="007355E7">
      <w:r>
        <w:t xml:space="preserve">The Lancet review </w:t>
      </w:r>
      <w:r w:rsidR="00AB3600">
        <w:t>says t</w:t>
      </w:r>
      <w:r w:rsidR="009F0B04" w:rsidRPr="009F0B04">
        <w:t xml:space="preserve">he chance of recovery is highest in people who had a less severe acute illness, are in the first </w:t>
      </w:r>
      <w:r w:rsidR="00037CC6">
        <w:t>six</w:t>
      </w:r>
      <w:r w:rsidR="009F0B04" w:rsidRPr="009F0B04">
        <w:t xml:space="preserve"> months after that illness, and were vaccinated</w:t>
      </w:r>
      <w:r w:rsidR="00037CC6">
        <w:t>. P</w:t>
      </w:r>
      <w:r w:rsidR="009F0B04" w:rsidRPr="009F0B04">
        <w:t xml:space="preserve">eople whose illness has lasted between </w:t>
      </w:r>
      <w:r w:rsidR="00037CC6">
        <w:t>six</w:t>
      </w:r>
      <w:r w:rsidR="009F0B04" w:rsidRPr="009F0B04">
        <w:t xml:space="preserve"> months and </w:t>
      </w:r>
      <w:r w:rsidR="00037CC6">
        <w:t>two</w:t>
      </w:r>
      <w:r w:rsidR="009F0B04" w:rsidRPr="009F0B04">
        <w:t xml:space="preserve"> years are less likely to fully recover.</w:t>
      </w:r>
    </w:p>
    <w:p w14:paraId="008EB99E" w14:textId="68AA613C" w:rsidR="00DA4B46" w:rsidRPr="006D3866" w:rsidRDefault="00DA4B46" w:rsidP="00DA4B46">
      <w:r w:rsidRPr="00B041FB">
        <w:t xml:space="preserve">There is little published research on people who have had long </w:t>
      </w:r>
      <w:r w:rsidR="009D5A03">
        <w:t>Covid</w:t>
      </w:r>
      <w:r w:rsidRPr="00B041FB">
        <w:t xml:space="preserve"> for </w:t>
      </w:r>
      <w:r w:rsidR="00AB3600">
        <w:t>two</w:t>
      </w:r>
      <w:r w:rsidRPr="00B041FB">
        <w:t xml:space="preserve"> years or more, but their chances of full recovery appear low.</w:t>
      </w:r>
      <w:r>
        <w:t xml:space="preserve"> </w:t>
      </w:r>
      <w:r w:rsidRPr="003C42AF">
        <w:t>At this stage, the condition typically relapses and remits with compromised quality of life.</w:t>
      </w:r>
      <w:r>
        <w:t xml:space="preserve"> </w:t>
      </w:r>
    </w:p>
    <w:p w14:paraId="12A9CF6D" w14:textId="5E109BD6" w:rsidR="002F1FF8" w:rsidRDefault="00550405" w:rsidP="007355E7">
      <w:pPr>
        <w:rPr>
          <w:b/>
          <w:bCs/>
        </w:rPr>
      </w:pPr>
      <w:r w:rsidRPr="00550405">
        <w:rPr>
          <w:b/>
          <w:bCs/>
        </w:rPr>
        <w:t xml:space="preserve">Risk </w:t>
      </w:r>
      <w:r w:rsidR="00AE5232">
        <w:rPr>
          <w:b/>
          <w:bCs/>
        </w:rPr>
        <w:t xml:space="preserve">and demographic </w:t>
      </w:r>
      <w:r w:rsidRPr="00550405">
        <w:rPr>
          <w:b/>
          <w:bCs/>
        </w:rPr>
        <w:t xml:space="preserve">factors </w:t>
      </w:r>
    </w:p>
    <w:p w14:paraId="2E6EB73C" w14:textId="6CE86E6A" w:rsidR="008A7BAC" w:rsidRDefault="008A7BAC" w:rsidP="007355E7">
      <w:r>
        <w:t>L</w:t>
      </w:r>
      <w:r w:rsidR="00AB117D" w:rsidRPr="00AB117D">
        <w:t xml:space="preserve">ong </w:t>
      </w:r>
      <w:r w:rsidR="001756B2">
        <w:t>Covid</w:t>
      </w:r>
      <w:r w:rsidR="00AB117D" w:rsidRPr="00AB117D">
        <w:t xml:space="preserve"> can occur in all ages, genders, ethnic and racial groups, in people who were previously healthy and fully vaccinated, and in individuals </w:t>
      </w:r>
      <w:proofErr w:type="gramStart"/>
      <w:r w:rsidR="00AB117D" w:rsidRPr="00AB117D">
        <w:t>whose</w:t>
      </w:r>
      <w:proofErr w:type="gramEnd"/>
      <w:r w:rsidR="00AB117D" w:rsidRPr="00AB117D">
        <w:t xml:space="preserve"> acute </w:t>
      </w:r>
      <w:r w:rsidR="002027D9">
        <w:t xml:space="preserve">Covid-19 </w:t>
      </w:r>
      <w:r w:rsidR="00AB117D" w:rsidRPr="00AB117D">
        <w:t>was mild or asymptomatic.</w:t>
      </w:r>
      <w:r w:rsidR="002027D9">
        <w:t xml:space="preserve"> </w:t>
      </w:r>
      <w:r>
        <w:t xml:space="preserve">Nevertheless, </w:t>
      </w:r>
      <w:r w:rsidR="0018070F">
        <w:t>certain de</w:t>
      </w:r>
      <w:r w:rsidRPr="00AB117D">
        <w:t>mographic groups</w:t>
      </w:r>
      <w:r w:rsidR="0018070F">
        <w:t xml:space="preserve"> are more likely to </w:t>
      </w:r>
      <w:r w:rsidR="001756B2">
        <w:t xml:space="preserve">develop long Covid. </w:t>
      </w:r>
    </w:p>
    <w:p w14:paraId="05621290" w14:textId="0B7F23DD" w:rsidR="004401FF" w:rsidRDefault="00C1182E" w:rsidP="004401FF">
      <w:r>
        <w:t>St</w:t>
      </w:r>
      <w:r w:rsidR="004401FF" w:rsidRPr="002340C3">
        <w:t xml:space="preserve">udies have identified that </w:t>
      </w:r>
      <w:r w:rsidR="002340C3" w:rsidRPr="002340C3">
        <w:t xml:space="preserve">people with </w:t>
      </w:r>
      <w:proofErr w:type="gramStart"/>
      <w:r w:rsidR="002340C3" w:rsidRPr="002340C3">
        <w:t>particular medical</w:t>
      </w:r>
      <w:proofErr w:type="gramEnd"/>
      <w:r w:rsidR="002340C3" w:rsidRPr="002340C3">
        <w:t xml:space="preserve"> conditions (including type 2 diabetes, allergies, </w:t>
      </w:r>
      <w:proofErr w:type="gramStart"/>
      <w:r w:rsidR="002340C3" w:rsidRPr="002340C3">
        <w:t>a past history</w:t>
      </w:r>
      <w:proofErr w:type="gramEnd"/>
      <w:r w:rsidR="002340C3" w:rsidRPr="002340C3">
        <w:t xml:space="preserve"> of post-viral fatigue, asthma, chronic lung disease, heart failure and chronic kidney disease)</w:t>
      </w:r>
      <w:r w:rsidR="004401FF">
        <w:t xml:space="preserve"> </w:t>
      </w:r>
      <w:r w:rsidR="004401FF" w:rsidRPr="002340C3">
        <w:t xml:space="preserve">are at higher risk of long </w:t>
      </w:r>
      <w:r w:rsidR="000D1614">
        <w:t>Covid</w:t>
      </w:r>
      <w:r w:rsidR="004401FF" w:rsidRPr="002340C3">
        <w:t xml:space="preserve"> than others and are more likely to have severe symptom</w:t>
      </w:r>
      <w:r w:rsidR="004401FF">
        <w:t xml:space="preserve">s. </w:t>
      </w:r>
    </w:p>
    <w:p w14:paraId="65E7EC8F" w14:textId="1A737F77" w:rsidR="000D1614" w:rsidRDefault="00CD6EB9" w:rsidP="000D1614">
      <w:r>
        <w:t>I</w:t>
      </w:r>
      <w:r w:rsidR="002340C3" w:rsidRPr="002340C3">
        <w:t>ndividuals who had a more severe acute illness</w:t>
      </w:r>
      <w:r w:rsidR="000D1614">
        <w:t xml:space="preserve"> are more like to develop long Covid, as are u</w:t>
      </w:r>
      <w:r w:rsidR="002340C3" w:rsidRPr="002340C3">
        <w:t xml:space="preserve">nvaccinated </w:t>
      </w:r>
      <w:r w:rsidR="00E73662">
        <w:t>people</w:t>
      </w:r>
      <w:r w:rsidR="000D1614">
        <w:t xml:space="preserve">. </w:t>
      </w:r>
      <w:r w:rsidR="000D1614" w:rsidRPr="00B21A4A">
        <w:t xml:space="preserve">A meta-analysis involving </w:t>
      </w:r>
      <w:r w:rsidR="000D1614">
        <w:t xml:space="preserve">data for </w:t>
      </w:r>
      <w:r w:rsidR="000D1614" w:rsidRPr="00B21A4A">
        <w:t>620</w:t>
      </w:r>
      <w:r w:rsidR="000D1614">
        <w:t>,</w:t>
      </w:r>
      <w:r w:rsidR="000D1614" w:rsidRPr="00B21A4A">
        <w:t xml:space="preserve">221 participants estimated that two doses of vaccine </w:t>
      </w:r>
      <w:proofErr w:type="gramStart"/>
      <w:r w:rsidR="000D1614" w:rsidRPr="00B21A4A">
        <w:t>reduces</w:t>
      </w:r>
      <w:proofErr w:type="gramEnd"/>
      <w:r w:rsidR="000D1614" w:rsidRPr="00B21A4A">
        <w:t xml:space="preserve"> the risk of long </w:t>
      </w:r>
      <w:r w:rsidR="000D1614">
        <w:t>Covid</w:t>
      </w:r>
      <w:r w:rsidR="000D1614" w:rsidRPr="00B21A4A">
        <w:t xml:space="preserve"> by 36</w:t>
      </w:r>
      <w:r w:rsidR="000D1614">
        <w:t>.</w:t>
      </w:r>
      <w:r w:rsidR="000D1614" w:rsidRPr="00B21A4A">
        <w:t>9% and three doses reduces the risk by 68</w:t>
      </w:r>
      <w:r w:rsidR="000D1614">
        <w:t>.</w:t>
      </w:r>
      <w:r w:rsidR="000D1614" w:rsidRPr="00B21A4A">
        <w:t>7%</w:t>
      </w:r>
      <w:r w:rsidR="00C84AA4">
        <w:t xml:space="preserve"> (i</w:t>
      </w:r>
      <w:r w:rsidR="00C84AA4" w:rsidRPr="00C84AA4">
        <w:t>n people who already have long COVID, vaccination has a variable effect on the condition</w:t>
      </w:r>
      <w:r w:rsidR="00697A54">
        <w:t>)</w:t>
      </w:r>
      <w:r w:rsidR="000D1614" w:rsidRPr="00B21A4A">
        <w:t>.</w:t>
      </w:r>
      <w:r w:rsidR="000D1614">
        <w:t xml:space="preserve"> </w:t>
      </w:r>
    </w:p>
    <w:p w14:paraId="3E261D1F" w14:textId="339BB9F3" w:rsidR="00244AA5" w:rsidRDefault="00244AA5" w:rsidP="007355E7">
      <w:r w:rsidRPr="00244AA5">
        <w:t>Winter CIS</w:t>
      </w:r>
      <w:r w:rsidR="00C22CF9">
        <w:t xml:space="preserve"> </w:t>
      </w:r>
      <w:r w:rsidR="0096652D">
        <w:t xml:space="preserve">data from </w:t>
      </w:r>
      <w:r w:rsidR="0096652D" w:rsidRPr="001E42AE">
        <w:t>February to 7 March 2024</w:t>
      </w:r>
      <w:r w:rsidR="0096652D">
        <w:t xml:space="preserve"> </w:t>
      </w:r>
      <w:r w:rsidR="00C22CF9">
        <w:t xml:space="preserve">for people with </w:t>
      </w:r>
      <w:r w:rsidR="0096652D">
        <w:t xml:space="preserve">long Covid of more than 12 weeks </w:t>
      </w:r>
      <w:r w:rsidR="00C22CF9">
        <w:t>found</w:t>
      </w:r>
      <w:r w:rsidR="0096652D">
        <w:t>:</w:t>
      </w:r>
    </w:p>
    <w:p w14:paraId="66FEBCDD" w14:textId="0B8D06BF" w:rsidR="00E34134" w:rsidRDefault="0096652D" w:rsidP="00421F42">
      <w:pPr>
        <w:pStyle w:val="ListParagraph"/>
        <w:numPr>
          <w:ilvl w:val="0"/>
          <w:numId w:val="27"/>
        </w:numPr>
      </w:pPr>
      <w:r>
        <w:t xml:space="preserve">In </w:t>
      </w:r>
      <w:r w:rsidR="00E34134" w:rsidRPr="00DD3589">
        <w:t xml:space="preserve">people who self-classified as “inactive, not looking for work”, the prevalence of long </w:t>
      </w:r>
      <w:r w:rsidR="00E34134">
        <w:t>Covid</w:t>
      </w:r>
      <w:r w:rsidR="00E34134" w:rsidRPr="00DD3589">
        <w:t xml:space="preserve"> was </w:t>
      </w:r>
      <w:r w:rsidR="00E34134">
        <w:t>5.8</w:t>
      </w:r>
      <w:r w:rsidR="00E34134" w:rsidRPr="00DD3589">
        <w:t>%</w:t>
      </w:r>
      <w:r w:rsidR="00E34134">
        <w:t xml:space="preserve"> (compared with 2.2% for those in employment)</w:t>
      </w:r>
      <w:r w:rsidR="00371D96">
        <w:t>.</w:t>
      </w:r>
    </w:p>
    <w:p w14:paraId="78EB6943" w14:textId="161BFFCD" w:rsidR="00244AA5" w:rsidRDefault="00421F42" w:rsidP="00421F42">
      <w:pPr>
        <w:pStyle w:val="ListParagraph"/>
        <w:numPr>
          <w:ilvl w:val="0"/>
          <w:numId w:val="27"/>
        </w:numPr>
      </w:pPr>
      <w:r>
        <w:t xml:space="preserve">Women are more likely than men to report having </w:t>
      </w:r>
      <w:r w:rsidR="0096652D">
        <w:t>l</w:t>
      </w:r>
      <w:r>
        <w:t>ong Covid –</w:t>
      </w:r>
      <w:r w:rsidR="0096652D">
        <w:t xml:space="preserve"> </w:t>
      </w:r>
      <w:r>
        <w:t>2.1% compared with 1.7%</w:t>
      </w:r>
      <w:r w:rsidR="003E3811">
        <w:t xml:space="preserve"> – </w:t>
      </w:r>
      <w:r w:rsidR="002A22A0">
        <w:t xml:space="preserve">and are </w:t>
      </w:r>
      <w:r w:rsidR="00BA385B">
        <w:t xml:space="preserve">more likely to report that their day-to-day activities are limited a lot by the condition – </w:t>
      </w:r>
      <w:r w:rsidR="006C3639">
        <w:t>22.</w:t>
      </w:r>
      <w:r w:rsidR="008D24CF">
        <w:t>8% to 14.3%</w:t>
      </w:r>
      <w:r w:rsidR="00113F99">
        <w:t xml:space="preserve"> of those with long Covid or 0.8% to 0.4% of the whole population. </w:t>
      </w:r>
      <w:r w:rsidR="008D24CF">
        <w:t xml:space="preserve"> </w:t>
      </w:r>
    </w:p>
    <w:p w14:paraId="1C4733CA" w14:textId="4EB5F2C5" w:rsidR="00421F42" w:rsidRDefault="003C266B" w:rsidP="00421F42">
      <w:pPr>
        <w:pStyle w:val="ListParagraph"/>
        <w:numPr>
          <w:ilvl w:val="0"/>
          <w:numId w:val="27"/>
        </w:numPr>
      </w:pPr>
      <w:r>
        <w:lastRenderedPageBreak/>
        <w:t>People aged 45</w:t>
      </w:r>
      <w:r w:rsidR="00113F99">
        <w:t>–</w:t>
      </w:r>
      <w:r>
        <w:t xml:space="preserve">54 are most likely to have long Covid, </w:t>
      </w:r>
      <w:r w:rsidR="00B8584E">
        <w:t>followed by those aged 55</w:t>
      </w:r>
      <w:r w:rsidR="00113F99">
        <w:t>–</w:t>
      </w:r>
      <w:r w:rsidR="00B8584E">
        <w:t>64</w:t>
      </w:r>
      <w:r w:rsidR="00173E5B">
        <w:t>. Young people and old are less likely, in the case of older people possibly because of higher vaccination rates:</w:t>
      </w:r>
    </w:p>
    <w:p w14:paraId="3999007A" w14:textId="35396065" w:rsidR="00150FE4" w:rsidRDefault="00150FE4" w:rsidP="00150FE4">
      <w:pPr>
        <w:pStyle w:val="ListParagraph"/>
        <w:numPr>
          <w:ilvl w:val="1"/>
          <w:numId w:val="27"/>
        </w:numPr>
      </w:pPr>
      <w:r>
        <w:t>3 to 17 – 0.6%</w:t>
      </w:r>
    </w:p>
    <w:p w14:paraId="3DB410A0" w14:textId="225FFEE4" w:rsidR="00150FE4" w:rsidRDefault="00150FE4" w:rsidP="00150FE4">
      <w:pPr>
        <w:pStyle w:val="ListParagraph"/>
        <w:numPr>
          <w:ilvl w:val="1"/>
          <w:numId w:val="27"/>
        </w:numPr>
      </w:pPr>
      <w:r>
        <w:t>18 to 34 – 1.4%</w:t>
      </w:r>
    </w:p>
    <w:p w14:paraId="3FEEAED4" w14:textId="6C5F62D9" w:rsidR="00150FE4" w:rsidRDefault="00150FE4" w:rsidP="00150FE4">
      <w:pPr>
        <w:pStyle w:val="ListParagraph"/>
        <w:numPr>
          <w:ilvl w:val="1"/>
          <w:numId w:val="27"/>
        </w:numPr>
      </w:pPr>
      <w:r>
        <w:t>35 to 44 – 2.4%</w:t>
      </w:r>
    </w:p>
    <w:p w14:paraId="42B5D9A6" w14:textId="047A8C27" w:rsidR="00150FE4" w:rsidRDefault="00150FE4" w:rsidP="00150FE4">
      <w:pPr>
        <w:pStyle w:val="ListParagraph"/>
        <w:numPr>
          <w:ilvl w:val="1"/>
          <w:numId w:val="27"/>
        </w:numPr>
      </w:pPr>
      <w:r>
        <w:t>45 to 54 – 3.1%</w:t>
      </w:r>
    </w:p>
    <w:p w14:paraId="556B9EF4" w14:textId="1BB8329E" w:rsidR="00150FE4" w:rsidRDefault="00150FE4" w:rsidP="00150FE4">
      <w:pPr>
        <w:pStyle w:val="ListParagraph"/>
        <w:numPr>
          <w:ilvl w:val="1"/>
          <w:numId w:val="27"/>
        </w:numPr>
      </w:pPr>
      <w:r>
        <w:t>55 to 64 – 3.0%</w:t>
      </w:r>
    </w:p>
    <w:p w14:paraId="1CBDD4D4" w14:textId="1649791E" w:rsidR="00150FE4" w:rsidRDefault="00150FE4" w:rsidP="00150FE4">
      <w:pPr>
        <w:pStyle w:val="ListParagraph"/>
        <w:numPr>
          <w:ilvl w:val="1"/>
          <w:numId w:val="27"/>
        </w:numPr>
      </w:pPr>
      <w:r>
        <w:t>65 to 74 – 2.0%</w:t>
      </w:r>
    </w:p>
    <w:p w14:paraId="3F102239" w14:textId="08789DC6" w:rsidR="00150FE4" w:rsidRDefault="00150FE4" w:rsidP="00150FE4">
      <w:pPr>
        <w:pStyle w:val="ListParagraph"/>
        <w:numPr>
          <w:ilvl w:val="1"/>
          <w:numId w:val="27"/>
        </w:numPr>
      </w:pPr>
      <w:r>
        <w:t>75 + – 1.5%</w:t>
      </w:r>
    </w:p>
    <w:p w14:paraId="6C3DF493" w14:textId="3B74E9D8" w:rsidR="00244AA5" w:rsidRPr="001E5F59" w:rsidRDefault="00BC60AB" w:rsidP="00421F42">
      <w:pPr>
        <w:pStyle w:val="ListParagraph"/>
        <w:numPr>
          <w:ilvl w:val="0"/>
          <w:numId w:val="27"/>
        </w:numPr>
      </w:pPr>
      <w:r>
        <w:t>L</w:t>
      </w:r>
      <w:r w:rsidR="009E32D0" w:rsidRPr="001E5F59">
        <w:t xml:space="preserve">ong Covid follows a </w:t>
      </w:r>
      <w:r w:rsidR="00A733DC">
        <w:t>s</w:t>
      </w:r>
      <w:r w:rsidR="009E32D0" w:rsidRPr="001E5F59">
        <w:t xml:space="preserve">ocial gradient, with those in </w:t>
      </w:r>
      <w:r w:rsidR="00E61606" w:rsidRPr="001E5F59">
        <w:t xml:space="preserve">the most </w:t>
      </w:r>
      <w:r w:rsidR="00EF4718" w:rsidRPr="001E5F59">
        <w:t>deprived</w:t>
      </w:r>
      <w:r w:rsidR="00E61606" w:rsidRPr="001E5F59">
        <w:t xml:space="preserve"> </w:t>
      </w:r>
      <w:r w:rsidR="00196135" w:rsidRPr="001E5F59">
        <w:t>quintile</w:t>
      </w:r>
      <w:r w:rsidR="00E61606" w:rsidRPr="001E5F59">
        <w:t xml:space="preserve"> </w:t>
      </w:r>
      <w:r w:rsidR="00196135" w:rsidRPr="001E5F59">
        <w:t xml:space="preserve">most likely to have </w:t>
      </w:r>
      <w:r>
        <w:t>the condition</w:t>
      </w:r>
      <w:r w:rsidR="00196135" w:rsidRPr="001E5F59">
        <w:t>, at 3.2% of the population</w:t>
      </w:r>
      <w:r w:rsidR="004F111B">
        <w:t xml:space="preserve"> segment</w:t>
      </w:r>
      <w:r w:rsidR="00196135" w:rsidRPr="001E5F59">
        <w:t>. The proportion</w:t>
      </w:r>
      <w:r w:rsidR="004F111B">
        <w:t xml:space="preserve"> </w:t>
      </w:r>
      <w:r w:rsidR="00196135" w:rsidRPr="001E5F59">
        <w:t>decreases with each quintile</w:t>
      </w:r>
      <w:r w:rsidR="00A7395D" w:rsidRPr="001E5F59">
        <w:t>. In the least deprived group, 1.5% hav</w:t>
      </w:r>
      <w:r w:rsidR="004F111B">
        <w:t>e</w:t>
      </w:r>
      <w:r w:rsidR="00A7395D" w:rsidRPr="001E5F59">
        <w:t xml:space="preserve"> long Covid. </w:t>
      </w:r>
    </w:p>
    <w:p w14:paraId="7DB68603" w14:textId="20517CE2" w:rsidR="001E5F59" w:rsidRDefault="00073818" w:rsidP="00421F42">
      <w:pPr>
        <w:pStyle w:val="ListParagraph"/>
        <w:numPr>
          <w:ilvl w:val="0"/>
          <w:numId w:val="27"/>
        </w:numPr>
      </w:pPr>
      <w:r w:rsidRPr="001E5F59">
        <w:t xml:space="preserve">In terms of ethnicity, there is a mixed picture. </w:t>
      </w:r>
      <w:r w:rsidR="00681ED2" w:rsidRPr="001E5F59">
        <w:t>People who identify as “</w:t>
      </w:r>
      <w:r w:rsidR="001E1027">
        <w:t>W</w:t>
      </w:r>
      <w:r w:rsidR="00681ED2" w:rsidRPr="001E5F59">
        <w:t>hite” and “</w:t>
      </w:r>
      <w:r w:rsidR="001E5F59" w:rsidRPr="001E5F59">
        <w:t>Black, African, Caribbean or Black British</w:t>
      </w:r>
      <w:r w:rsidR="001E5F59">
        <w:t>” are least likely to have long Covid</w:t>
      </w:r>
      <w:r w:rsidR="001E1027">
        <w:t>,</w:t>
      </w:r>
      <w:r w:rsidR="001E5F59">
        <w:t xml:space="preserve"> at 1.5%. </w:t>
      </w:r>
      <w:r w:rsidR="0095368D">
        <w:t>People who identify as “</w:t>
      </w:r>
      <w:r w:rsidR="0095368D" w:rsidRPr="0095368D">
        <w:t>Mixed or Multiple ethnic groups</w:t>
      </w:r>
      <w:r w:rsidR="0095368D">
        <w:t xml:space="preserve">” are most likely, at 2.4%. </w:t>
      </w:r>
      <w:r w:rsidR="00A36394">
        <w:t>A slightly smaller proportion of p</w:t>
      </w:r>
      <w:r w:rsidR="0095368D">
        <w:t>eople who are “</w:t>
      </w:r>
      <w:r w:rsidR="0095368D" w:rsidRPr="0095368D">
        <w:t>Asian or Asian British</w:t>
      </w:r>
      <w:r w:rsidR="0095368D">
        <w:t xml:space="preserve">” </w:t>
      </w:r>
      <w:r w:rsidR="00A36394">
        <w:t xml:space="preserve">have long Covid, at 2.2%. </w:t>
      </w:r>
    </w:p>
    <w:p w14:paraId="3C170522" w14:textId="7FD94931" w:rsidR="002E5DDE" w:rsidRDefault="00004906" w:rsidP="007355E7">
      <w:r>
        <w:t xml:space="preserve">There has been some speculation that long Covid may be contributing to the rising rate of </w:t>
      </w:r>
      <w:r w:rsidR="00BA4194">
        <w:t>ill health related economic inactivity</w:t>
      </w:r>
      <w:r w:rsidR="004048AF">
        <w:t xml:space="preserve">. However, </w:t>
      </w:r>
      <w:r w:rsidR="005E4F73">
        <w:t xml:space="preserve">the </w:t>
      </w:r>
      <w:hyperlink r:id="rId10" w:anchor=":~:text=Survey%20respondents%20were,of%20the%20pandemic." w:history="1">
        <w:r w:rsidR="005E4F73" w:rsidRPr="00A9252B">
          <w:rPr>
            <w:rStyle w:val="Hyperlink"/>
          </w:rPr>
          <w:t>ONS</w:t>
        </w:r>
      </w:hyperlink>
      <w:r w:rsidR="005E4F73">
        <w:t xml:space="preserve"> and </w:t>
      </w:r>
      <w:hyperlink r:id="rId11" w:history="1">
        <w:r w:rsidR="005E4F73" w:rsidRPr="005E20B4">
          <w:rPr>
            <w:rStyle w:val="Hyperlink"/>
          </w:rPr>
          <w:t>the Health Foundation</w:t>
        </w:r>
      </w:hyperlink>
      <w:r w:rsidR="005E4F73">
        <w:t xml:space="preserve"> have indicated that while it may be exacerbating </w:t>
      </w:r>
      <w:r w:rsidR="00F76188">
        <w:t>matters</w:t>
      </w:r>
      <w:r w:rsidR="005E4F73">
        <w:t>, it is not the main reason for it</w:t>
      </w:r>
      <w:r w:rsidR="00D04F25">
        <w:t xml:space="preserve">, instead being </w:t>
      </w:r>
      <w:r w:rsidR="002E5DDE" w:rsidRPr="002E5DDE">
        <w:t>a longer-term, pre-pandemic trend of deteriorating health</w:t>
      </w:r>
      <w:r w:rsidR="002E5DDE">
        <w:t>.</w:t>
      </w:r>
    </w:p>
    <w:p w14:paraId="5AE9B4A1" w14:textId="5D55B53E" w:rsidR="00BA209B" w:rsidRDefault="00147F78" w:rsidP="007355E7">
      <w:pPr>
        <w:rPr>
          <w:b/>
          <w:bCs/>
        </w:rPr>
      </w:pPr>
      <w:r>
        <w:rPr>
          <w:b/>
          <w:bCs/>
        </w:rPr>
        <w:t>Medical t</w:t>
      </w:r>
      <w:r w:rsidR="00BA209B" w:rsidRPr="00BA209B">
        <w:rPr>
          <w:b/>
          <w:bCs/>
        </w:rPr>
        <w:t xml:space="preserve">reatment </w:t>
      </w:r>
      <w:r w:rsidR="00B224CA">
        <w:rPr>
          <w:b/>
          <w:bCs/>
        </w:rPr>
        <w:t>and s</w:t>
      </w:r>
      <w:r w:rsidR="00DA690F">
        <w:rPr>
          <w:b/>
          <w:bCs/>
        </w:rPr>
        <w:t>ervices</w:t>
      </w:r>
    </w:p>
    <w:p w14:paraId="3B4347D6" w14:textId="1ACCF623" w:rsidR="00B224CA" w:rsidRDefault="00690716" w:rsidP="007355E7">
      <w:r>
        <w:t xml:space="preserve">There is no treatment for long Covid. </w:t>
      </w:r>
      <w:r w:rsidR="00966F8C">
        <w:t>Management</w:t>
      </w:r>
      <w:r w:rsidR="00F70A1E">
        <w:t xml:space="preserve"> is </w:t>
      </w:r>
      <w:r w:rsidR="007E407F">
        <w:t xml:space="preserve">geared towards addressing </w:t>
      </w:r>
      <w:proofErr w:type="gramStart"/>
      <w:r w:rsidR="007E407F">
        <w:t>particular sets</w:t>
      </w:r>
      <w:proofErr w:type="gramEnd"/>
      <w:r w:rsidR="007E407F">
        <w:t xml:space="preserve"> </w:t>
      </w:r>
      <w:r w:rsidR="00AA2C11">
        <w:t xml:space="preserve">or groups </w:t>
      </w:r>
      <w:r w:rsidR="007E407F">
        <w:t>of symptoms</w:t>
      </w:r>
      <w:r w:rsidR="00F24166">
        <w:t xml:space="preserve"> with the aim of providing relief and rehabilitation</w:t>
      </w:r>
      <w:r w:rsidR="007E407F">
        <w:t xml:space="preserve">. </w:t>
      </w:r>
      <w:r w:rsidR="00C74516">
        <w:t xml:space="preserve">Due to </w:t>
      </w:r>
      <w:r w:rsidR="0085786C">
        <w:t xml:space="preserve">the typically </w:t>
      </w:r>
      <w:r w:rsidR="00F70A1E">
        <w:t>multifactorial</w:t>
      </w:r>
      <w:r w:rsidR="0085786C">
        <w:t xml:space="preserve"> nature of long Covid, research supports </w:t>
      </w:r>
      <w:r w:rsidR="00F110FB">
        <w:t xml:space="preserve">a </w:t>
      </w:r>
      <w:r w:rsidR="00F110FB" w:rsidRPr="00F110FB">
        <w:t>multidisciplinary approach to rehabilitatio</w:t>
      </w:r>
      <w:r w:rsidR="00F110FB">
        <w:t xml:space="preserve">n. </w:t>
      </w:r>
    </w:p>
    <w:p w14:paraId="4C344356" w14:textId="279A37FC" w:rsidR="00B21D26" w:rsidRPr="00690716" w:rsidRDefault="00B30B7C" w:rsidP="007355E7">
      <w:r>
        <w:t>While e</w:t>
      </w:r>
      <w:r w:rsidR="00B21D26">
        <w:t>x</w:t>
      </w:r>
      <w:r w:rsidR="00B21D26" w:rsidRPr="00B21D26">
        <w:t>ercise has</w:t>
      </w:r>
      <w:r>
        <w:t xml:space="preserve"> typically</w:t>
      </w:r>
      <w:r w:rsidR="00B21D26" w:rsidRPr="00B21D26">
        <w:t xml:space="preserve"> been a core element of rehabilitation, evidence </w:t>
      </w:r>
      <w:r>
        <w:t>suggests this can ex</w:t>
      </w:r>
      <w:r w:rsidR="00B21D26" w:rsidRPr="00B21D26">
        <w:t>acerbate symptoms and delay recovery.</w:t>
      </w:r>
      <w:r w:rsidR="000602C1" w:rsidRPr="00B21D26">
        <w:t xml:space="preserve"> </w:t>
      </w:r>
      <w:r w:rsidR="00B21D26" w:rsidRPr="00B21D26">
        <w:t>Pacing-based rehabilitation</w:t>
      </w:r>
      <w:r w:rsidR="000602C1">
        <w:t>, w</w:t>
      </w:r>
      <w:r w:rsidR="006A1C0F">
        <w:t xml:space="preserve">hich </w:t>
      </w:r>
      <w:r w:rsidR="006A1C0F" w:rsidRPr="00B21D26">
        <w:t>takes</w:t>
      </w:r>
      <w:r w:rsidR="006A1C0F">
        <w:t xml:space="preserve"> </w:t>
      </w:r>
      <w:r w:rsidR="006A1C0F" w:rsidRPr="00B21D26">
        <w:t>account of the patient's symptoms on a given day</w:t>
      </w:r>
      <w:r w:rsidR="006A1C0F">
        <w:t xml:space="preserve">, </w:t>
      </w:r>
      <w:r w:rsidR="00B21D26" w:rsidRPr="00B21D26">
        <w:t xml:space="preserve">is </w:t>
      </w:r>
      <w:r w:rsidR="000602C1">
        <w:t xml:space="preserve">deemed </w:t>
      </w:r>
      <w:r w:rsidR="00B21D26" w:rsidRPr="00B21D26">
        <w:t xml:space="preserve">be safer and more effective than </w:t>
      </w:r>
      <w:r w:rsidR="00C74516">
        <w:t xml:space="preserve">a </w:t>
      </w:r>
      <w:r w:rsidR="00B21D26" w:rsidRPr="00B21D26">
        <w:t>progressive exercise intervention</w:t>
      </w:r>
      <w:r w:rsidR="006A1C0F">
        <w:t>.</w:t>
      </w:r>
    </w:p>
    <w:p w14:paraId="6FA1A487" w14:textId="4018C6B3" w:rsidR="001705BB" w:rsidRPr="001705BB" w:rsidRDefault="002031F7" w:rsidP="00257F87">
      <w:pPr>
        <w:rPr>
          <w:b/>
          <w:bCs/>
        </w:rPr>
      </w:pPr>
      <w:r w:rsidRPr="002031F7">
        <w:t xml:space="preserve">In the UK, </w:t>
      </w:r>
      <w:r w:rsidR="006A1C0F">
        <w:t>health</w:t>
      </w:r>
      <w:r w:rsidR="007068A5">
        <w:t xml:space="preserve"> services vary from region to region</w:t>
      </w:r>
      <w:r w:rsidR="006A1C0F">
        <w:t xml:space="preserve">, but </w:t>
      </w:r>
      <w:r w:rsidRPr="002031F7">
        <w:t>there is a tiered approach to service provision</w:t>
      </w:r>
      <w:r w:rsidR="00324785">
        <w:t xml:space="preserve">. </w:t>
      </w:r>
      <w:r w:rsidR="00D72463">
        <w:t>Tier one</w:t>
      </w:r>
      <w:r w:rsidR="00324785">
        <w:t xml:space="preserve"> is </w:t>
      </w:r>
      <w:r w:rsidR="00D90667" w:rsidRPr="004E716E">
        <w:t>self-management</w:t>
      </w:r>
      <w:r w:rsidR="00324785">
        <w:t xml:space="preserve">; tier two </w:t>
      </w:r>
      <w:proofErr w:type="gramStart"/>
      <w:r w:rsidR="00324785">
        <w:t xml:space="preserve">is </w:t>
      </w:r>
      <w:r w:rsidRPr="002031F7">
        <w:t>care</w:t>
      </w:r>
      <w:proofErr w:type="gramEnd"/>
      <w:r w:rsidRPr="002031F7">
        <w:t xml:space="preserve"> from a generalist physician or </w:t>
      </w:r>
      <w:r w:rsidR="0023606D">
        <w:t xml:space="preserve">GP </w:t>
      </w:r>
      <w:r w:rsidR="004E716E">
        <w:t>for case management</w:t>
      </w:r>
      <w:r w:rsidR="00C62F25">
        <w:t xml:space="preserve"> </w:t>
      </w:r>
      <w:r w:rsidRPr="002031F7">
        <w:t xml:space="preserve">in the community. </w:t>
      </w:r>
      <w:r w:rsidR="003643C5">
        <w:t>Tier three</w:t>
      </w:r>
      <w:r w:rsidR="00257F87">
        <w:t xml:space="preserve"> involves </w:t>
      </w:r>
      <w:r w:rsidR="003643C5">
        <w:t>r</w:t>
      </w:r>
      <w:r w:rsidRPr="002031F7">
        <w:t>eferral to specialist</w:t>
      </w:r>
      <w:r w:rsidR="000F60A6">
        <w:t xml:space="preserve">, multidisciplinary </w:t>
      </w:r>
      <w:r w:rsidRPr="002031F7">
        <w:t>service</w:t>
      </w:r>
      <w:r w:rsidR="00257F87">
        <w:t xml:space="preserve">s. </w:t>
      </w:r>
    </w:p>
    <w:p w14:paraId="78997092" w14:textId="31BE6125" w:rsidR="00147F78" w:rsidRPr="001705BB" w:rsidRDefault="00147F78" w:rsidP="001705BB">
      <w:pPr>
        <w:rPr>
          <w:b/>
          <w:bCs/>
        </w:rPr>
      </w:pPr>
      <w:r w:rsidRPr="001705BB">
        <w:rPr>
          <w:b/>
          <w:bCs/>
        </w:rPr>
        <w:t xml:space="preserve">Workplace support </w:t>
      </w:r>
    </w:p>
    <w:p w14:paraId="28D1B8C4" w14:textId="3C609E16" w:rsidR="00FD7CED" w:rsidRDefault="003876C3" w:rsidP="00FD7CED">
      <w:r>
        <w:t xml:space="preserve">Workplace </w:t>
      </w:r>
      <w:r w:rsidR="00DB0858">
        <w:t xml:space="preserve">management </w:t>
      </w:r>
      <w:r>
        <w:t xml:space="preserve">and support </w:t>
      </w:r>
      <w:r w:rsidR="00DB0858">
        <w:t xml:space="preserve">strategies </w:t>
      </w:r>
      <w:r>
        <w:t xml:space="preserve">for people with long Covid </w:t>
      </w:r>
      <w:r w:rsidR="00421616">
        <w:t xml:space="preserve">are </w:t>
      </w:r>
      <w:proofErr w:type="gramStart"/>
      <w:r w:rsidR="00DB0858">
        <w:t>similar to</w:t>
      </w:r>
      <w:proofErr w:type="gramEnd"/>
      <w:r w:rsidR="00DB0858">
        <w:t xml:space="preserve"> </w:t>
      </w:r>
      <w:r w:rsidR="004D3039">
        <w:t xml:space="preserve">those for people with </w:t>
      </w:r>
      <w:r w:rsidR="00DB0858">
        <w:t>other</w:t>
      </w:r>
      <w:r w:rsidR="004D3039">
        <w:t xml:space="preserve"> long</w:t>
      </w:r>
      <w:r w:rsidR="00421616">
        <w:t>-</w:t>
      </w:r>
      <w:r w:rsidR="004D3039">
        <w:t>term</w:t>
      </w:r>
      <w:r w:rsidR="00DB0858">
        <w:t xml:space="preserve"> health conditions</w:t>
      </w:r>
      <w:r w:rsidR="004D3039">
        <w:t xml:space="preserve">. However, </w:t>
      </w:r>
      <w:r w:rsidR="00DB0858">
        <w:t>the fluctuating</w:t>
      </w:r>
      <w:r w:rsidR="00D73945">
        <w:t xml:space="preserve"> and unpredictable </w:t>
      </w:r>
      <w:r w:rsidR="00DB0858">
        <w:t xml:space="preserve">nature of </w:t>
      </w:r>
      <w:r w:rsidR="00D32E60">
        <w:t xml:space="preserve">the condition </w:t>
      </w:r>
      <w:r w:rsidR="004D3039">
        <w:t>pose</w:t>
      </w:r>
      <w:r w:rsidR="002F2C84">
        <w:t>s</w:t>
      </w:r>
      <w:r w:rsidR="004D3039">
        <w:t xml:space="preserve"> </w:t>
      </w:r>
      <w:proofErr w:type="gramStart"/>
      <w:r w:rsidR="004D3039">
        <w:t>particular challenges</w:t>
      </w:r>
      <w:proofErr w:type="gramEnd"/>
      <w:r w:rsidR="00013DC5">
        <w:t xml:space="preserve">. </w:t>
      </w:r>
      <w:r w:rsidR="00FD7CED">
        <w:t xml:space="preserve">It is important that support </w:t>
      </w:r>
      <w:r w:rsidR="00734890">
        <w:t>is</w:t>
      </w:r>
      <w:r w:rsidR="00FD7CED">
        <w:t xml:space="preserve"> tailored to the individual’s needs, with </w:t>
      </w:r>
      <w:r w:rsidR="00421616">
        <w:t>input</w:t>
      </w:r>
      <w:r w:rsidR="00FD7CED">
        <w:t xml:space="preserve"> from occupational health services as necessary. </w:t>
      </w:r>
    </w:p>
    <w:p w14:paraId="6BBA7024" w14:textId="70A902FA" w:rsidR="008D64C5" w:rsidRDefault="008D64C5" w:rsidP="008D64C5">
      <w:r>
        <w:t>Some employees with long Covid may be considered disabled for the purpose</w:t>
      </w:r>
      <w:r w:rsidR="00421616">
        <w:t>s</w:t>
      </w:r>
      <w:r>
        <w:t xml:space="preserve"> of the Equality </w:t>
      </w:r>
      <w:proofErr w:type="gramStart"/>
      <w:r>
        <w:t>Act, and</w:t>
      </w:r>
      <w:proofErr w:type="gramEnd"/>
      <w:r>
        <w:t xml:space="preserve"> therefore be entitled to reasonable adjustments. </w:t>
      </w:r>
    </w:p>
    <w:p w14:paraId="682B4F06" w14:textId="6FE85260" w:rsidR="00CC79C8" w:rsidRDefault="000C0301" w:rsidP="00354F3F">
      <w:r>
        <w:t xml:space="preserve">The Society of Occupational Medicine’s </w:t>
      </w:r>
      <w:hyperlink r:id="rId12" w:history="1">
        <w:r w:rsidRPr="00834497">
          <w:rPr>
            <w:rStyle w:val="Hyperlink"/>
          </w:rPr>
          <w:t>guidance for managers</w:t>
        </w:r>
      </w:hyperlink>
      <w:r>
        <w:t xml:space="preserve"> </w:t>
      </w:r>
      <w:r w:rsidR="00834497">
        <w:t xml:space="preserve">suggests </w:t>
      </w:r>
      <w:r w:rsidR="00B96022">
        <w:t xml:space="preserve">that </w:t>
      </w:r>
      <w:r w:rsidR="00834497">
        <w:t>t</w:t>
      </w:r>
      <w:r w:rsidR="00354F3F">
        <w:t xml:space="preserve">he commonly used four-week phased return to work is often not effective in </w:t>
      </w:r>
      <w:r w:rsidR="002F2C84">
        <w:t>l</w:t>
      </w:r>
      <w:r w:rsidR="00354F3F">
        <w:t xml:space="preserve">ong </w:t>
      </w:r>
      <w:r w:rsidR="00834497">
        <w:t>Covid</w:t>
      </w:r>
      <w:r w:rsidR="00354F3F">
        <w:t xml:space="preserve">. Most people with </w:t>
      </w:r>
      <w:r w:rsidR="002F2C84">
        <w:t>l</w:t>
      </w:r>
      <w:r w:rsidR="00354F3F">
        <w:t xml:space="preserve">ong </w:t>
      </w:r>
      <w:r w:rsidR="00834497">
        <w:t>Covid</w:t>
      </w:r>
      <w:r w:rsidR="00354F3F">
        <w:t xml:space="preserve"> need an extended period of reduced </w:t>
      </w:r>
      <w:proofErr w:type="gramStart"/>
      <w:r w:rsidR="00354F3F">
        <w:t>hours</w:t>
      </w:r>
      <w:r w:rsidR="00C9295C">
        <w:t>, and</w:t>
      </w:r>
      <w:proofErr w:type="gramEnd"/>
      <w:r w:rsidR="00C9295C">
        <w:t xml:space="preserve"> recommends flexibility to accommodate the fluctuating nature of the condition. </w:t>
      </w:r>
    </w:p>
    <w:p w14:paraId="40028D23" w14:textId="499B1C4B" w:rsidR="00733EAF" w:rsidRDefault="00013DC5" w:rsidP="00354F3F">
      <w:r>
        <w:lastRenderedPageBreak/>
        <w:t xml:space="preserve">A </w:t>
      </w:r>
      <w:hyperlink r:id="rId13" w:history="1">
        <w:r w:rsidR="00FD7CED" w:rsidRPr="00FD7CED">
          <w:rPr>
            <w:rStyle w:val="Hyperlink"/>
          </w:rPr>
          <w:t xml:space="preserve">guide for employers </w:t>
        </w:r>
        <w:r w:rsidRPr="00FD7CED">
          <w:rPr>
            <w:rStyle w:val="Hyperlink"/>
          </w:rPr>
          <w:t>by EU-OSHA</w:t>
        </w:r>
      </w:hyperlink>
      <w:r w:rsidR="00DA3241">
        <w:t xml:space="preserve">, the EU’s health and safety agency, says </w:t>
      </w:r>
      <w:r w:rsidR="00734890">
        <w:t>the return to work for those affected by long COVID should be in phases</w:t>
      </w:r>
      <w:r w:rsidR="00733EAF">
        <w:t xml:space="preserve">, and tasks should be tailored to the individual’s energy levels. </w:t>
      </w:r>
    </w:p>
    <w:p w14:paraId="7C61995F" w14:textId="5E45A368" w:rsidR="00733EAF" w:rsidRDefault="008D64C5" w:rsidP="00ED391E">
      <w:r>
        <w:t>“Based on an assessment of the limitations, the tasks that workers will have to carry out and the required energy level, a plan should be set out, with appropriate times for rest.</w:t>
      </w:r>
      <w:r w:rsidR="001A2E4A">
        <w:t xml:space="preserve"> </w:t>
      </w:r>
      <w:r w:rsidR="00ED391E">
        <w:t>It is recommended</w:t>
      </w:r>
      <w:r w:rsidR="00B728C6">
        <w:t xml:space="preserve"> </w:t>
      </w:r>
      <w:r w:rsidR="00ED391E">
        <w:t>to start with lighter activities before moving on to more demanding ones. Breaking down activities into</w:t>
      </w:r>
      <w:r w:rsidR="00B728C6">
        <w:t xml:space="preserve"> </w:t>
      </w:r>
      <w:r w:rsidR="00ED391E">
        <w:t xml:space="preserve">easier and/or smaller steps can help and reorganisation of work may therefore be needed. </w:t>
      </w:r>
    </w:p>
    <w:p w14:paraId="64261D45" w14:textId="01AE23E1" w:rsidR="00ED391E" w:rsidRDefault="00B54761" w:rsidP="00ED391E">
      <w:r>
        <w:t>“</w:t>
      </w:r>
      <w:r w:rsidR="00ED391E">
        <w:t>Energy</w:t>
      </w:r>
      <w:r w:rsidR="00B728C6">
        <w:t xml:space="preserve"> </w:t>
      </w:r>
      <w:r w:rsidR="00ED391E">
        <w:t>conservation and pacing are important; performing tasks or daily activities from a comfortable position</w:t>
      </w:r>
      <w:r w:rsidR="00B728C6">
        <w:t xml:space="preserve"> </w:t>
      </w:r>
      <w:r w:rsidR="00ED391E">
        <w:t>(e.g. sitting down rather than standing) and resting between tasks are examples of measures that the</w:t>
      </w:r>
      <w:r w:rsidR="00B728C6">
        <w:t xml:space="preserve"> </w:t>
      </w:r>
      <w:r w:rsidR="00ED391E">
        <w:t>worker may need to take</w:t>
      </w:r>
      <w:r w:rsidR="00733EAF">
        <w:t>.</w:t>
      </w:r>
      <w:r>
        <w:t xml:space="preserve">” </w:t>
      </w:r>
    </w:p>
    <w:p w14:paraId="301DE608" w14:textId="4745DF33" w:rsidR="00B728C6" w:rsidRDefault="00B728C6" w:rsidP="00ED391E"/>
    <w:p w14:paraId="56A98578" w14:textId="555F5ED7" w:rsidR="00A96FC3" w:rsidRDefault="00A96FC3" w:rsidP="00ED391E">
      <w:r>
        <w:t>Chris Warburton</w:t>
      </w:r>
    </w:p>
    <w:p w14:paraId="3D5A30B7" w14:textId="2B1CC885" w:rsidR="00A96FC3" w:rsidRPr="00C752B7" w:rsidRDefault="00A96FC3" w:rsidP="00ED391E">
      <w:r>
        <w:t xml:space="preserve">Health and safety research officer </w:t>
      </w:r>
    </w:p>
    <w:sectPr w:rsidR="00A96FC3" w:rsidRPr="00C752B7" w:rsidSect="000B29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35FE" w14:textId="77777777" w:rsidR="00C76356" w:rsidRDefault="00C76356">
      <w:r>
        <w:separator/>
      </w:r>
    </w:p>
  </w:endnote>
  <w:endnote w:type="continuationSeparator" w:id="0">
    <w:p w14:paraId="056BDDF6" w14:textId="77777777" w:rsidR="00C76356" w:rsidRDefault="00C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CCDF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7AE6E43" w14:textId="77777777" w:rsidR="001918F6" w:rsidRDefault="001918F6">
    <w:pPr>
      <w:pStyle w:val="Footer"/>
    </w:pPr>
  </w:p>
  <w:p w14:paraId="29C8E5DF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57EF" w14:textId="77777777" w:rsidR="00502984" w:rsidRDefault="00502984" w:rsidP="00502984">
    <w:pPr>
      <w:pStyle w:val="Footer"/>
      <w:jc w:val="center"/>
    </w:pPr>
  </w:p>
  <w:p w14:paraId="0FF84E22" w14:textId="77777777" w:rsidR="00502984" w:rsidRDefault="00502984" w:rsidP="00502984">
    <w:pPr>
      <w:pStyle w:val="Footer"/>
      <w:jc w:val="center"/>
    </w:pPr>
  </w:p>
  <w:p w14:paraId="43DA2DD1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1F4371CF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720CD3D0" w14:textId="77777777" w:rsidR="005C7769" w:rsidRDefault="005C7769" w:rsidP="005C7769">
          <w:pPr>
            <w:pStyle w:val="Prospectaddress"/>
          </w:pPr>
          <w:r>
            <w:t>Prospect</w:t>
          </w:r>
        </w:p>
        <w:p w14:paraId="7126C75F" w14:textId="77777777" w:rsidR="005C7769" w:rsidRPr="009E6FEE" w:rsidRDefault="005C7769" w:rsidP="005C7769">
          <w:pPr>
            <w:pStyle w:val="Prospectaddress"/>
          </w:pPr>
          <w:r>
            <w:t>100 Rochester Row</w:t>
          </w:r>
        </w:p>
        <w:p w14:paraId="77BB8E9B" w14:textId="77777777" w:rsidR="005C7769" w:rsidRPr="00CB5A86" w:rsidRDefault="005C7769" w:rsidP="005C7769">
          <w:pPr>
            <w:pStyle w:val="Prospectaddress"/>
          </w:pPr>
          <w:r w:rsidRPr="00CB5A86">
            <w:t>London</w:t>
          </w:r>
        </w:p>
        <w:p w14:paraId="715ABD54" w14:textId="77777777" w:rsidR="00E84930" w:rsidRPr="00CB5A86" w:rsidRDefault="005C7769" w:rsidP="005C7769">
          <w:pPr>
            <w:pStyle w:val="Prospectaddress"/>
          </w:pPr>
          <w:r>
            <w:t>SW1P 1JP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411E2472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3C68F6AA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21CBBC04" w14:textId="77777777" w:rsidR="00E84930" w:rsidRPr="00CB5A86" w:rsidRDefault="00E84930" w:rsidP="00BD4843">
          <w:pPr>
            <w:pStyle w:val="Prospectaddress"/>
          </w:pPr>
        </w:p>
        <w:p w14:paraId="1FF89A48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7971C7C5" w14:textId="77777777" w:rsidR="00193849" w:rsidRPr="00193849" w:rsidRDefault="00193849" w:rsidP="00E84930">
    <w:pPr>
      <w:pStyle w:val="Footer"/>
      <w:spacing w:afterLines="60" w:after="144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C37D" w14:textId="77777777" w:rsidR="00C76356" w:rsidRDefault="00C76356">
      <w:r>
        <w:separator/>
      </w:r>
    </w:p>
  </w:footnote>
  <w:footnote w:type="continuationSeparator" w:id="0">
    <w:p w14:paraId="169D50F4" w14:textId="77777777" w:rsidR="00C76356" w:rsidRDefault="00C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6E24" w14:textId="77777777" w:rsidR="00BD4843" w:rsidRDefault="00BD4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E3CA" w14:textId="77777777" w:rsidR="00BD4843" w:rsidRDefault="00BD4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CED5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7DCAC565" wp14:editId="6703AE0C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32D"/>
    <w:multiLevelType w:val="hybridMultilevel"/>
    <w:tmpl w:val="CFC69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1851"/>
    <w:multiLevelType w:val="hybridMultilevel"/>
    <w:tmpl w:val="424C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E12C77"/>
    <w:multiLevelType w:val="hybridMultilevel"/>
    <w:tmpl w:val="F85E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56F6"/>
    <w:multiLevelType w:val="hybridMultilevel"/>
    <w:tmpl w:val="DB3E9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30154124"/>
    <w:multiLevelType w:val="hybridMultilevel"/>
    <w:tmpl w:val="46E2B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A3FC2"/>
    <w:multiLevelType w:val="hybridMultilevel"/>
    <w:tmpl w:val="57D05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6729E"/>
    <w:multiLevelType w:val="hybridMultilevel"/>
    <w:tmpl w:val="CD30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F56221"/>
    <w:multiLevelType w:val="multilevel"/>
    <w:tmpl w:val="D00A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236DB"/>
    <w:multiLevelType w:val="hybridMultilevel"/>
    <w:tmpl w:val="5FE8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A756D"/>
    <w:multiLevelType w:val="multilevel"/>
    <w:tmpl w:val="71DA1D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169A5"/>
    <w:multiLevelType w:val="hybridMultilevel"/>
    <w:tmpl w:val="4AB2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2428">
    <w:abstractNumId w:val="9"/>
  </w:num>
  <w:num w:numId="2" w16cid:durableId="1075587592">
    <w:abstractNumId w:val="2"/>
  </w:num>
  <w:num w:numId="3" w16cid:durableId="1380278112">
    <w:abstractNumId w:val="5"/>
  </w:num>
  <w:num w:numId="4" w16cid:durableId="576327041">
    <w:abstractNumId w:val="13"/>
  </w:num>
  <w:num w:numId="5" w16cid:durableId="777066700">
    <w:abstractNumId w:val="14"/>
  </w:num>
  <w:num w:numId="6" w16cid:durableId="593898429">
    <w:abstractNumId w:val="11"/>
  </w:num>
  <w:num w:numId="7" w16cid:durableId="2072339418">
    <w:abstractNumId w:val="5"/>
  </w:num>
  <w:num w:numId="8" w16cid:durableId="1562592997">
    <w:abstractNumId w:val="5"/>
  </w:num>
  <w:num w:numId="9" w16cid:durableId="909461551">
    <w:abstractNumId w:val="5"/>
  </w:num>
  <w:num w:numId="10" w16cid:durableId="1479031088">
    <w:abstractNumId w:val="5"/>
  </w:num>
  <w:num w:numId="11" w16cid:durableId="1634166606">
    <w:abstractNumId w:val="5"/>
  </w:num>
  <w:num w:numId="12" w16cid:durableId="1905525673">
    <w:abstractNumId w:val="2"/>
  </w:num>
  <w:num w:numId="13" w16cid:durableId="1736586276">
    <w:abstractNumId w:val="2"/>
  </w:num>
  <w:num w:numId="14" w16cid:durableId="1768771206">
    <w:abstractNumId w:val="2"/>
  </w:num>
  <w:num w:numId="15" w16cid:durableId="565608059">
    <w:abstractNumId w:val="2"/>
  </w:num>
  <w:num w:numId="16" w16cid:durableId="775947301">
    <w:abstractNumId w:val="2"/>
  </w:num>
  <w:num w:numId="17" w16cid:durableId="396902891">
    <w:abstractNumId w:val="4"/>
  </w:num>
  <w:num w:numId="18" w16cid:durableId="394202253">
    <w:abstractNumId w:val="8"/>
  </w:num>
  <w:num w:numId="19" w16cid:durableId="610749976">
    <w:abstractNumId w:val="6"/>
  </w:num>
  <w:num w:numId="20" w16cid:durableId="1518884391">
    <w:abstractNumId w:val="12"/>
  </w:num>
  <w:num w:numId="21" w16cid:durableId="2029406264">
    <w:abstractNumId w:val="7"/>
  </w:num>
  <w:num w:numId="22" w16cid:durableId="1611743320">
    <w:abstractNumId w:val="10"/>
  </w:num>
  <w:num w:numId="23" w16cid:durableId="849443627">
    <w:abstractNumId w:val="0"/>
  </w:num>
  <w:num w:numId="24" w16cid:durableId="340817806">
    <w:abstractNumId w:val="15"/>
  </w:num>
  <w:num w:numId="25" w16cid:durableId="162866350">
    <w:abstractNumId w:val="16"/>
  </w:num>
  <w:num w:numId="26" w16cid:durableId="1965846034">
    <w:abstractNumId w:val="1"/>
  </w:num>
  <w:num w:numId="27" w16cid:durableId="6325659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9B"/>
    <w:rsid w:val="000008AA"/>
    <w:rsid w:val="00004906"/>
    <w:rsid w:val="0000624D"/>
    <w:rsid w:val="00013DC5"/>
    <w:rsid w:val="00017C38"/>
    <w:rsid w:val="00025ECB"/>
    <w:rsid w:val="00032DF0"/>
    <w:rsid w:val="00037CC6"/>
    <w:rsid w:val="00040DED"/>
    <w:rsid w:val="000414D7"/>
    <w:rsid w:val="00043B82"/>
    <w:rsid w:val="00053FCA"/>
    <w:rsid w:val="00060115"/>
    <w:rsid w:val="000602C1"/>
    <w:rsid w:val="00064583"/>
    <w:rsid w:val="00073818"/>
    <w:rsid w:val="000765A0"/>
    <w:rsid w:val="00082524"/>
    <w:rsid w:val="000909CB"/>
    <w:rsid w:val="00094D6C"/>
    <w:rsid w:val="00096B3C"/>
    <w:rsid w:val="000A0A9A"/>
    <w:rsid w:val="000A2576"/>
    <w:rsid w:val="000B29B8"/>
    <w:rsid w:val="000C0301"/>
    <w:rsid w:val="000D0318"/>
    <w:rsid w:val="000D1614"/>
    <w:rsid w:val="000D3C05"/>
    <w:rsid w:val="000F01F7"/>
    <w:rsid w:val="000F60A6"/>
    <w:rsid w:val="001004E8"/>
    <w:rsid w:val="001016A2"/>
    <w:rsid w:val="00103E3C"/>
    <w:rsid w:val="00105DFD"/>
    <w:rsid w:val="00113F99"/>
    <w:rsid w:val="00140DB8"/>
    <w:rsid w:val="00141B29"/>
    <w:rsid w:val="001465A5"/>
    <w:rsid w:val="00146F22"/>
    <w:rsid w:val="00147F78"/>
    <w:rsid w:val="001500B3"/>
    <w:rsid w:val="00150FE4"/>
    <w:rsid w:val="001517CE"/>
    <w:rsid w:val="001520AF"/>
    <w:rsid w:val="0015465B"/>
    <w:rsid w:val="00157FAB"/>
    <w:rsid w:val="00165747"/>
    <w:rsid w:val="00165CA1"/>
    <w:rsid w:val="00167C0A"/>
    <w:rsid w:val="001705BB"/>
    <w:rsid w:val="00173E5B"/>
    <w:rsid w:val="001752B2"/>
    <w:rsid w:val="001756B2"/>
    <w:rsid w:val="001778D6"/>
    <w:rsid w:val="0018070F"/>
    <w:rsid w:val="00183027"/>
    <w:rsid w:val="00183D96"/>
    <w:rsid w:val="001917A9"/>
    <w:rsid w:val="001918F6"/>
    <w:rsid w:val="00193849"/>
    <w:rsid w:val="00193AAF"/>
    <w:rsid w:val="00196135"/>
    <w:rsid w:val="001978A0"/>
    <w:rsid w:val="001A14FD"/>
    <w:rsid w:val="001A2881"/>
    <w:rsid w:val="001A2E4A"/>
    <w:rsid w:val="001B12AC"/>
    <w:rsid w:val="001E1027"/>
    <w:rsid w:val="001E42AE"/>
    <w:rsid w:val="001E4961"/>
    <w:rsid w:val="001E4AA0"/>
    <w:rsid w:val="001E5F59"/>
    <w:rsid w:val="001F1543"/>
    <w:rsid w:val="001F6B63"/>
    <w:rsid w:val="001F7BF1"/>
    <w:rsid w:val="002027D9"/>
    <w:rsid w:val="002031F7"/>
    <w:rsid w:val="00210AEE"/>
    <w:rsid w:val="00224DAC"/>
    <w:rsid w:val="0022750F"/>
    <w:rsid w:val="002340C3"/>
    <w:rsid w:val="0023606D"/>
    <w:rsid w:val="00244AA5"/>
    <w:rsid w:val="00244EF3"/>
    <w:rsid w:val="0024609F"/>
    <w:rsid w:val="00257F87"/>
    <w:rsid w:val="002605D8"/>
    <w:rsid w:val="002663E0"/>
    <w:rsid w:val="002A22A0"/>
    <w:rsid w:val="002A5CC7"/>
    <w:rsid w:val="002B29E2"/>
    <w:rsid w:val="002B48FC"/>
    <w:rsid w:val="002C08B4"/>
    <w:rsid w:val="002E0A68"/>
    <w:rsid w:val="002E0CFB"/>
    <w:rsid w:val="002E2A35"/>
    <w:rsid w:val="002E5DDE"/>
    <w:rsid w:val="002F1FF8"/>
    <w:rsid w:val="002F2C84"/>
    <w:rsid w:val="002F3C69"/>
    <w:rsid w:val="002F543D"/>
    <w:rsid w:val="00303CBE"/>
    <w:rsid w:val="00324785"/>
    <w:rsid w:val="0032714F"/>
    <w:rsid w:val="00333395"/>
    <w:rsid w:val="003425DB"/>
    <w:rsid w:val="003431CE"/>
    <w:rsid w:val="0035231E"/>
    <w:rsid w:val="00354F3F"/>
    <w:rsid w:val="00355D99"/>
    <w:rsid w:val="00356FED"/>
    <w:rsid w:val="003607EB"/>
    <w:rsid w:val="003643C5"/>
    <w:rsid w:val="00366762"/>
    <w:rsid w:val="00371D96"/>
    <w:rsid w:val="00375A2D"/>
    <w:rsid w:val="003808A6"/>
    <w:rsid w:val="003876C3"/>
    <w:rsid w:val="0039217F"/>
    <w:rsid w:val="003926FD"/>
    <w:rsid w:val="00394850"/>
    <w:rsid w:val="00394B67"/>
    <w:rsid w:val="003961D6"/>
    <w:rsid w:val="003A19A2"/>
    <w:rsid w:val="003A579B"/>
    <w:rsid w:val="003B2FE9"/>
    <w:rsid w:val="003B7897"/>
    <w:rsid w:val="003C266B"/>
    <w:rsid w:val="003C42AF"/>
    <w:rsid w:val="003C77BC"/>
    <w:rsid w:val="003D27BD"/>
    <w:rsid w:val="003E3811"/>
    <w:rsid w:val="003E77F9"/>
    <w:rsid w:val="004048AF"/>
    <w:rsid w:val="00412414"/>
    <w:rsid w:val="004146D6"/>
    <w:rsid w:val="0041479E"/>
    <w:rsid w:val="00414CC2"/>
    <w:rsid w:val="00420E0C"/>
    <w:rsid w:val="00421616"/>
    <w:rsid w:val="00421F42"/>
    <w:rsid w:val="00423A64"/>
    <w:rsid w:val="00430895"/>
    <w:rsid w:val="00436A4B"/>
    <w:rsid w:val="004401FF"/>
    <w:rsid w:val="004444F3"/>
    <w:rsid w:val="00465E0E"/>
    <w:rsid w:val="0047381D"/>
    <w:rsid w:val="00475A65"/>
    <w:rsid w:val="00487498"/>
    <w:rsid w:val="00487A5D"/>
    <w:rsid w:val="004915D6"/>
    <w:rsid w:val="004B4498"/>
    <w:rsid w:val="004C32AA"/>
    <w:rsid w:val="004C4BAA"/>
    <w:rsid w:val="004D3039"/>
    <w:rsid w:val="004D4B4B"/>
    <w:rsid w:val="004D5708"/>
    <w:rsid w:val="004E716E"/>
    <w:rsid w:val="004F0360"/>
    <w:rsid w:val="004F111B"/>
    <w:rsid w:val="004F1A28"/>
    <w:rsid w:val="004F1DA8"/>
    <w:rsid w:val="00502984"/>
    <w:rsid w:val="00505894"/>
    <w:rsid w:val="00512C46"/>
    <w:rsid w:val="00521A6D"/>
    <w:rsid w:val="00521E08"/>
    <w:rsid w:val="00550405"/>
    <w:rsid w:val="00552A2C"/>
    <w:rsid w:val="00552D25"/>
    <w:rsid w:val="00571162"/>
    <w:rsid w:val="005759C5"/>
    <w:rsid w:val="00584DC8"/>
    <w:rsid w:val="00591DD4"/>
    <w:rsid w:val="005A155E"/>
    <w:rsid w:val="005A3204"/>
    <w:rsid w:val="005B272A"/>
    <w:rsid w:val="005B38C8"/>
    <w:rsid w:val="005C4437"/>
    <w:rsid w:val="005C7769"/>
    <w:rsid w:val="005C7B86"/>
    <w:rsid w:val="005D70C9"/>
    <w:rsid w:val="005E20B4"/>
    <w:rsid w:val="005E4F73"/>
    <w:rsid w:val="005F49DA"/>
    <w:rsid w:val="006005AD"/>
    <w:rsid w:val="006123C3"/>
    <w:rsid w:val="00615D63"/>
    <w:rsid w:val="00622DC2"/>
    <w:rsid w:val="006233F1"/>
    <w:rsid w:val="00626ED7"/>
    <w:rsid w:val="00630E42"/>
    <w:rsid w:val="00635675"/>
    <w:rsid w:val="00637CFF"/>
    <w:rsid w:val="006404CE"/>
    <w:rsid w:val="00643A7A"/>
    <w:rsid w:val="00643FBC"/>
    <w:rsid w:val="00650918"/>
    <w:rsid w:val="006604A0"/>
    <w:rsid w:val="00662F22"/>
    <w:rsid w:val="0066427C"/>
    <w:rsid w:val="006643C2"/>
    <w:rsid w:val="00667D8F"/>
    <w:rsid w:val="00667E2B"/>
    <w:rsid w:val="00672F54"/>
    <w:rsid w:val="006737ED"/>
    <w:rsid w:val="0067565E"/>
    <w:rsid w:val="00681ED2"/>
    <w:rsid w:val="00684033"/>
    <w:rsid w:val="00686BA1"/>
    <w:rsid w:val="00690716"/>
    <w:rsid w:val="006912BB"/>
    <w:rsid w:val="00697A54"/>
    <w:rsid w:val="006A1C0F"/>
    <w:rsid w:val="006A2192"/>
    <w:rsid w:val="006A2F48"/>
    <w:rsid w:val="006A6E1B"/>
    <w:rsid w:val="006C3639"/>
    <w:rsid w:val="006C7C77"/>
    <w:rsid w:val="006D1407"/>
    <w:rsid w:val="006D1574"/>
    <w:rsid w:val="006D3043"/>
    <w:rsid w:val="006D3866"/>
    <w:rsid w:val="006D733D"/>
    <w:rsid w:val="006E193B"/>
    <w:rsid w:val="006F1F1B"/>
    <w:rsid w:val="006F567D"/>
    <w:rsid w:val="007044BA"/>
    <w:rsid w:val="007068A5"/>
    <w:rsid w:val="007118E4"/>
    <w:rsid w:val="00711BB1"/>
    <w:rsid w:val="0072206B"/>
    <w:rsid w:val="00724BEB"/>
    <w:rsid w:val="007328F4"/>
    <w:rsid w:val="00733EAF"/>
    <w:rsid w:val="00734890"/>
    <w:rsid w:val="007355E7"/>
    <w:rsid w:val="0073643A"/>
    <w:rsid w:val="00746A56"/>
    <w:rsid w:val="007471F1"/>
    <w:rsid w:val="00747895"/>
    <w:rsid w:val="00752F15"/>
    <w:rsid w:val="00765754"/>
    <w:rsid w:val="0076699C"/>
    <w:rsid w:val="00771506"/>
    <w:rsid w:val="00773C67"/>
    <w:rsid w:val="00773F4D"/>
    <w:rsid w:val="00783C8D"/>
    <w:rsid w:val="007A1C2D"/>
    <w:rsid w:val="007A382B"/>
    <w:rsid w:val="007B665E"/>
    <w:rsid w:val="007D5AE7"/>
    <w:rsid w:val="007E379E"/>
    <w:rsid w:val="007E407F"/>
    <w:rsid w:val="007E4431"/>
    <w:rsid w:val="007F4B7B"/>
    <w:rsid w:val="00813953"/>
    <w:rsid w:val="00817A8F"/>
    <w:rsid w:val="00820815"/>
    <w:rsid w:val="008267B4"/>
    <w:rsid w:val="0083192C"/>
    <w:rsid w:val="00832564"/>
    <w:rsid w:val="00834497"/>
    <w:rsid w:val="00845077"/>
    <w:rsid w:val="00852196"/>
    <w:rsid w:val="0085786C"/>
    <w:rsid w:val="0086610A"/>
    <w:rsid w:val="00867417"/>
    <w:rsid w:val="00867CD2"/>
    <w:rsid w:val="00872B72"/>
    <w:rsid w:val="008874B1"/>
    <w:rsid w:val="0089439E"/>
    <w:rsid w:val="008A4C14"/>
    <w:rsid w:val="008A7BAC"/>
    <w:rsid w:val="008B0412"/>
    <w:rsid w:val="008B36EA"/>
    <w:rsid w:val="008B50D5"/>
    <w:rsid w:val="008D24CF"/>
    <w:rsid w:val="008D64C5"/>
    <w:rsid w:val="008E0B5F"/>
    <w:rsid w:val="008E2D53"/>
    <w:rsid w:val="008F74FF"/>
    <w:rsid w:val="0090150D"/>
    <w:rsid w:val="00922E6B"/>
    <w:rsid w:val="009234A2"/>
    <w:rsid w:val="00926282"/>
    <w:rsid w:val="00947794"/>
    <w:rsid w:val="00950594"/>
    <w:rsid w:val="00953586"/>
    <w:rsid w:val="0095368D"/>
    <w:rsid w:val="009637B8"/>
    <w:rsid w:val="00963C93"/>
    <w:rsid w:val="0096652D"/>
    <w:rsid w:val="00966F8C"/>
    <w:rsid w:val="009712FD"/>
    <w:rsid w:val="0097146D"/>
    <w:rsid w:val="00974682"/>
    <w:rsid w:val="00977B76"/>
    <w:rsid w:val="0098435B"/>
    <w:rsid w:val="00995C0C"/>
    <w:rsid w:val="009A1FA2"/>
    <w:rsid w:val="009C55BE"/>
    <w:rsid w:val="009D1B93"/>
    <w:rsid w:val="009D5A03"/>
    <w:rsid w:val="009E0671"/>
    <w:rsid w:val="009E32D0"/>
    <w:rsid w:val="009E3B0D"/>
    <w:rsid w:val="009F0138"/>
    <w:rsid w:val="009F015F"/>
    <w:rsid w:val="009F0B04"/>
    <w:rsid w:val="00A0020C"/>
    <w:rsid w:val="00A338D6"/>
    <w:rsid w:val="00A35A0C"/>
    <w:rsid w:val="00A36394"/>
    <w:rsid w:val="00A42B87"/>
    <w:rsid w:val="00A540F0"/>
    <w:rsid w:val="00A733DC"/>
    <w:rsid w:val="00A7395D"/>
    <w:rsid w:val="00A775BF"/>
    <w:rsid w:val="00A9252B"/>
    <w:rsid w:val="00A96FC3"/>
    <w:rsid w:val="00AA2C11"/>
    <w:rsid w:val="00AB089B"/>
    <w:rsid w:val="00AB117D"/>
    <w:rsid w:val="00AB3600"/>
    <w:rsid w:val="00AB4059"/>
    <w:rsid w:val="00AB47E1"/>
    <w:rsid w:val="00AB59C7"/>
    <w:rsid w:val="00AD0AA9"/>
    <w:rsid w:val="00AE5232"/>
    <w:rsid w:val="00AF0284"/>
    <w:rsid w:val="00AF4BFD"/>
    <w:rsid w:val="00B01E2E"/>
    <w:rsid w:val="00B041FB"/>
    <w:rsid w:val="00B047B7"/>
    <w:rsid w:val="00B11B50"/>
    <w:rsid w:val="00B17245"/>
    <w:rsid w:val="00B177D4"/>
    <w:rsid w:val="00B17A99"/>
    <w:rsid w:val="00B211EC"/>
    <w:rsid w:val="00B21A4A"/>
    <w:rsid w:val="00B21D26"/>
    <w:rsid w:val="00B224CA"/>
    <w:rsid w:val="00B24081"/>
    <w:rsid w:val="00B2469A"/>
    <w:rsid w:val="00B30B7C"/>
    <w:rsid w:val="00B341D7"/>
    <w:rsid w:val="00B357DA"/>
    <w:rsid w:val="00B37E71"/>
    <w:rsid w:val="00B54761"/>
    <w:rsid w:val="00B717DB"/>
    <w:rsid w:val="00B7210C"/>
    <w:rsid w:val="00B728C6"/>
    <w:rsid w:val="00B827B2"/>
    <w:rsid w:val="00B8584E"/>
    <w:rsid w:val="00B96022"/>
    <w:rsid w:val="00B97518"/>
    <w:rsid w:val="00BA209B"/>
    <w:rsid w:val="00BA2D7A"/>
    <w:rsid w:val="00BA385B"/>
    <w:rsid w:val="00BA4194"/>
    <w:rsid w:val="00BB38E4"/>
    <w:rsid w:val="00BC60AB"/>
    <w:rsid w:val="00BC7E40"/>
    <w:rsid w:val="00BD4843"/>
    <w:rsid w:val="00BD4D9B"/>
    <w:rsid w:val="00BE257C"/>
    <w:rsid w:val="00BF359B"/>
    <w:rsid w:val="00BF42B8"/>
    <w:rsid w:val="00BF6A25"/>
    <w:rsid w:val="00BF7B14"/>
    <w:rsid w:val="00C1182E"/>
    <w:rsid w:val="00C1285C"/>
    <w:rsid w:val="00C143E0"/>
    <w:rsid w:val="00C14B21"/>
    <w:rsid w:val="00C17F5A"/>
    <w:rsid w:val="00C22CF9"/>
    <w:rsid w:val="00C3484F"/>
    <w:rsid w:val="00C46E89"/>
    <w:rsid w:val="00C511B1"/>
    <w:rsid w:val="00C515C5"/>
    <w:rsid w:val="00C545C7"/>
    <w:rsid w:val="00C62F25"/>
    <w:rsid w:val="00C74516"/>
    <w:rsid w:val="00C752B7"/>
    <w:rsid w:val="00C76356"/>
    <w:rsid w:val="00C81D3E"/>
    <w:rsid w:val="00C83B04"/>
    <w:rsid w:val="00C84201"/>
    <w:rsid w:val="00C846CD"/>
    <w:rsid w:val="00C84AA4"/>
    <w:rsid w:val="00C87447"/>
    <w:rsid w:val="00C87D87"/>
    <w:rsid w:val="00C9295C"/>
    <w:rsid w:val="00C957C2"/>
    <w:rsid w:val="00CA30B5"/>
    <w:rsid w:val="00CB0BDE"/>
    <w:rsid w:val="00CB43A5"/>
    <w:rsid w:val="00CC5E94"/>
    <w:rsid w:val="00CC79C8"/>
    <w:rsid w:val="00CD1DF7"/>
    <w:rsid w:val="00CD1EB9"/>
    <w:rsid w:val="00CD6EB9"/>
    <w:rsid w:val="00CE4715"/>
    <w:rsid w:val="00CE79A2"/>
    <w:rsid w:val="00CF419F"/>
    <w:rsid w:val="00CF60F1"/>
    <w:rsid w:val="00CF63E1"/>
    <w:rsid w:val="00D02B4A"/>
    <w:rsid w:val="00D02D66"/>
    <w:rsid w:val="00D04F25"/>
    <w:rsid w:val="00D054EF"/>
    <w:rsid w:val="00D1109B"/>
    <w:rsid w:val="00D147D3"/>
    <w:rsid w:val="00D25800"/>
    <w:rsid w:val="00D32E60"/>
    <w:rsid w:val="00D33F96"/>
    <w:rsid w:val="00D34C4A"/>
    <w:rsid w:val="00D367B4"/>
    <w:rsid w:val="00D37076"/>
    <w:rsid w:val="00D37FEC"/>
    <w:rsid w:val="00D44FC5"/>
    <w:rsid w:val="00D56D7F"/>
    <w:rsid w:val="00D62A82"/>
    <w:rsid w:val="00D72463"/>
    <w:rsid w:val="00D7249C"/>
    <w:rsid w:val="00D73945"/>
    <w:rsid w:val="00D90667"/>
    <w:rsid w:val="00D91020"/>
    <w:rsid w:val="00D91303"/>
    <w:rsid w:val="00D979A3"/>
    <w:rsid w:val="00DA3241"/>
    <w:rsid w:val="00DA4B46"/>
    <w:rsid w:val="00DA60C0"/>
    <w:rsid w:val="00DA690F"/>
    <w:rsid w:val="00DB0858"/>
    <w:rsid w:val="00DB3CC2"/>
    <w:rsid w:val="00DC10A5"/>
    <w:rsid w:val="00DC4ED2"/>
    <w:rsid w:val="00DC5AE5"/>
    <w:rsid w:val="00DC76CB"/>
    <w:rsid w:val="00DD3589"/>
    <w:rsid w:val="00DD3F21"/>
    <w:rsid w:val="00DD515C"/>
    <w:rsid w:val="00DE116F"/>
    <w:rsid w:val="00DE23D0"/>
    <w:rsid w:val="00DE4C33"/>
    <w:rsid w:val="00DF6C9C"/>
    <w:rsid w:val="00E02D16"/>
    <w:rsid w:val="00E06306"/>
    <w:rsid w:val="00E3175A"/>
    <w:rsid w:val="00E34134"/>
    <w:rsid w:val="00E34C55"/>
    <w:rsid w:val="00E45D5F"/>
    <w:rsid w:val="00E56222"/>
    <w:rsid w:val="00E578DF"/>
    <w:rsid w:val="00E61606"/>
    <w:rsid w:val="00E73662"/>
    <w:rsid w:val="00E75683"/>
    <w:rsid w:val="00E831C5"/>
    <w:rsid w:val="00E8399E"/>
    <w:rsid w:val="00E842A4"/>
    <w:rsid w:val="00E84930"/>
    <w:rsid w:val="00E87FD4"/>
    <w:rsid w:val="00EA352F"/>
    <w:rsid w:val="00EA5F22"/>
    <w:rsid w:val="00EC2D8D"/>
    <w:rsid w:val="00EC3171"/>
    <w:rsid w:val="00EC73EB"/>
    <w:rsid w:val="00ED391E"/>
    <w:rsid w:val="00ED4724"/>
    <w:rsid w:val="00ED677E"/>
    <w:rsid w:val="00EE572E"/>
    <w:rsid w:val="00EF1561"/>
    <w:rsid w:val="00EF1CBA"/>
    <w:rsid w:val="00EF4718"/>
    <w:rsid w:val="00F0063B"/>
    <w:rsid w:val="00F04FC4"/>
    <w:rsid w:val="00F05857"/>
    <w:rsid w:val="00F078C1"/>
    <w:rsid w:val="00F07AFF"/>
    <w:rsid w:val="00F110FB"/>
    <w:rsid w:val="00F24166"/>
    <w:rsid w:val="00F26040"/>
    <w:rsid w:val="00F31C5D"/>
    <w:rsid w:val="00F362BC"/>
    <w:rsid w:val="00F36F35"/>
    <w:rsid w:val="00F4074C"/>
    <w:rsid w:val="00F40DA3"/>
    <w:rsid w:val="00F60F30"/>
    <w:rsid w:val="00F70A1E"/>
    <w:rsid w:val="00F76188"/>
    <w:rsid w:val="00F816D5"/>
    <w:rsid w:val="00F83201"/>
    <w:rsid w:val="00FA36C1"/>
    <w:rsid w:val="00FA3EEC"/>
    <w:rsid w:val="00FA6349"/>
    <w:rsid w:val="00FA769B"/>
    <w:rsid w:val="00FB0B55"/>
    <w:rsid w:val="00FB0DAC"/>
    <w:rsid w:val="00FB664F"/>
    <w:rsid w:val="00FC4FBB"/>
    <w:rsid w:val="00FC641A"/>
    <w:rsid w:val="00FD7CED"/>
    <w:rsid w:val="00FE258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67914"/>
  <w15:docId w15:val="{F0F3600C-04D5-47BF-91E7-6DF0667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0F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1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1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6D3866"/>
    <w:pPr>
      <w:numPr>
        <w:ilvl w:val="2"/>
        <w:numId w:val="11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1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1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qFormat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E84930"/>
    <w:pPr>
      <w:spacing w:before="140"/>
    </w:pPr>
  </w:style>
  <w:style w:type="paragraph" w:customStyle="1" w:styleId="letter-reference">
    <w:name w:val="letter-reference"/>
    <w:basedOn w:val="Normal"/>
    <w:qFormat/>
    <w:rsid w:val="00E84930"/>
    <w:pPr>
      <w:spacing w:before="460"/>
    </w:pPr>
  </w:style>
  <w:style w:type="paragraph" w:customStyle="1" w:styleId="letter-salutation">
    <w:name w:val="letter-salutation"/>
    <w:basedOn w:val="Normal"/>
    <w:qFormat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E84930"/>
  </w:style>
  <w:style w:type="paragraph" w:customStyle="1" w:styleId="letter-signoff-email">
    <w:name w:val="letter-signoff-email"/>
    <w:basedOn w:val="Normal"/>
    <w:qFormat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E84930"/>
    <w:pPr>
      <w:spacing w:before="1000"/>
    </w:pPr>
  </w:style>
  <w:style w:type="paragraph" w:customStyle="1" w:styleId="letter-subject-line">
    <w:name w:val="letter-subject-line"/>
    <w:basedOn w:val="Normal"/>
    <w:qFormat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qFormat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77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88/chapter/1-Identification" TargetMode="External"/><Relationship Id="rId13" Type="http://schemas.openxmlformats.org/officeDocument/2006/relationships/hyperlink" Target="https://osha.europa.eu/sites/default/files/documents/Long-COVID-supporting-rehabilitation-employers-guide_EN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om.org.uk/sites/som.org.uk/files/SOM_Long_COVID_A_Managers_Guide_April_2024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org.uk/press-office/press-releases/health-foundation-respond-to-ons-figures-on-economic-inactivity-due-t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ons.gov.uk/employmentandlabourmarket/peoplenotinwork/economicinactivity/articles/halfamillionmorepeopleareoutofthelabourforcebecauseoflongtermsickness/2022-11-1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helancet.com/journals/lancet/article/PIIS0140-6736(24)01136-X/fulltext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Warburton\AppData\Roaming\Microsoft\Templates\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450F-D08F-9E4B-A7F0-EB3FB1DE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0</TotalTime>
  <Pages>6</Pages>
  <Words>2016</Words>
  <Characters>11509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Chris Warburton</dc:creator>
  <cp:keywords/>
  <dc:description/>
  <cp:lastModifiedBy>Diana Gyamfi</cp:lastModifiedBy>
  <cp:revision>2</cp:revision>
  <cp:lastPrinted>2006-01-26T18:56:00Z</cp:lastPrinted>
  <dcterms:created xsi:type="dcterms:W3CDTF">2025-07-04T10:04:00Z</dcterms:created>
  <dcterms:modified xsi:type="dcterms:W3CDTF">2025-07-04T10:04:00Z</dcterms:modified>
</cp:coreProperties>
</file>