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E982" w14:textId="77777777" w:rsidR="00193849" w:rsidRDefault="00193849" w:rsidP="009D1B93">
      <w:pPr>
        <w:rPr>
          <w:noProof/>
        </w:rPr>
      </w:pPr>
    </w:p>
    <w:p w14:paraId="63F9D294" w14:textId="77777777" w:rsidR="00193849" w:rsidRDefault="00193849" w:rsidP="009D1B93"/>
    <w:p w14:paraId="02105402" w14:textId="77777777" w:rsidR="00193849" w:rsidRDefault="00193849" w:rsidP="009D1B93"/>
    <w:p w14:paraId="477374D8" w14:textId="77777777" w:rsidR="00193849" w:rsidRDefault="00193849" w:rsidP="009D1B93"/>
    <w:tbl>
      <w:tblPr>
        <w:tblW w:w="9789" w:type="dxa"/>
        <w:tblCellMar>
          <w:left w:w="0" w:type="dxa"/>
          <w:right w:w="0" w:type="dxa"/>
        </w:tblCellMar>
        <w:tblLook w:val="0000" w:firstRow="0" w:lastRow="0" w:firstColumn="0" w:lastColumn="0" w:noHBand="0" w:noVBand="0"/>
      </w:tblPr>
      <w:tblGrid>
        <w:gridCol w:w="434"/>
        <w:gridCol w:w="5811"/>
        <w:gridCol w:w="3544"/>
      </w:tblGrid>
      <w:tr w:rsidR="00193849" w14:paraId="625C2393" w14:textId="77777777" w:rsidTr="00B159A3">
        <w:tc>
          <w:tcPr>
            <w:tcW w:w="434" w:type="dxa"/>
          </w:tcPr>
          <w:p w14:paraId="33564B14" w14:textId="77777777" w:rsidR="00193849" w:rsidRDefault="00193849" w:rsidP="00E84930">
            <w:pPr>
              <w:pStyle w:val="Normalnospaceafterorbefore"/>
            </w:pPr>
            <w:r w:rsidRPr="00E84930">
              <w:t>To</w:t>
            </w:r>
            <w:r>
              <w:t>:</w:t>
            </w:r>
          </w:p>
        </w:tc>
        <w:tc>
          <w:tcPr>
            <w:tcW w:w="5811" w:type="dxa"/>
          </w:tcPr>
          <w:p w14:paraId="108B091F" w14:textId="63661901" w:rsidR="00193849" w:rsidRPr="00E84930" w:rsidRDefault="005F5CDF" w:rsidP="00E84930">
            <w:pPr>
              <w:pStyle w:val="Normalnospaceafterorbefore"/>
            </w:pPr>
            <w:r>
              <w:t>Equal Opportunities Advisory Comm</w:t>
            </w:r>
            <w:r w:rsidR="00A60AAB">
              <w:t>i</w:t>
            </w:r>
            <w:r>
              <w:t>ttee</w:t>
            </w:r>
          </w:p>
        </w:tc>
        <w:tc>
          <w:tcPr>
            <w:tcW w:w="3544" w:type="dxa"/>
            <w:tcMar>
              <w:left w:w="57" w:type="dxa"/>
            </w:tcMar>
          </w:tcPr>
          <w:p w14:paraId="40E9AF59" w14:textId="7437A656" w:rsidR="00193849" w:rsidRPr="00E84930" w:rsidRDefault="005F5CDF" w:rsidP="00E84930">
            <w:pPr>
              <w:pStyle w:val="Normalnospaceafterorbefore"/>
            </w:pPr>
            <w:r>
              <w:t>1</w:t>
            </w:r>
            <w:r w:rsidR="00A60AAB">
              <w:t>7</w:t>
            </w:r>
            <w:r>
              <w:t xml:space="preserve"> June 2025</w:t>
            </w:r>
          </w:p>
          <w:p w14:paraId="5FF8AEF0" w14:textId="1CA8DDF3" w:rsidR="00193849" w:rsidRDefault="00805BD9" w:rsidP="00805BD9">
            <w:r w:rsidRPr="00805BD9">
              <w:t>2025/01129S</w:t>
            </w:r>
          </w:p>
        </w:tc>
      </w:tr>
    </w:tbl>
    <w:p w14:paraId="03CD97F2" w14:textId="77777777" w:rsidR="00193849" w:rsidRDefault="00193849" w:rsidP="00366762"/>
    <w:p w14:paraId="014AD4B7" w14:textId="77777777" w:rsidR="00193849" w:rsidRDefault="00193849" w:rsidP="00366762"/>
    <w:p w14:paraId="2ECF33FE" w14:textId="77777777" w:rsidR="00193849" w:rsidRDefault="00193849" w:rsidP="00366762">
      <w:r>
        <w:t>Dear Colleague</w:t>
      </w:r>
    </w:p>
    <w:p w14:paraId="5E0A6400" w14:textId="2D9F4962" w:rsidR="00193849" w:rsidRPr="0090150D" w:rsidRDefault="005F5CDF" w:rsidP="0090150D">
      <w:pPr>
        <w:pStyle w:val="Heading2"/>
      </w:pPr>
      <w:r>
        <w:t>TUC Equalities Committees</w:t>
      </w:r>
    </w:p>
    <w:p w14:paraId="4FAB3957" w14:textId="24244234" w:rsidR="00193849" w:rsidRDefault="005F5CDF" w:rsidP="00366762">
      <w:pPr>
        <w:rPr>
          <w:b/>
          <w:bCs/>
        </w:rPr>
      </w:pPr>
      <w:r>
        <w:rPr>
          <w:b/>
          <w:bCs/>
        </w:rPr>
        <w:t>Disabled Workers’ Committee – Amy Bishop</w:t>
      </w:r>
    </w:p>
    <w:p w14:paraId="0E8461CB" w14:textId="5FE63D0E" w:rsidR="005F5CDF" w:rsidRPr="005F5CDF" w:rsidRDefault="005F5CDF" w:rsidP="005F5CDF">
      <w:r>
        <w:t>T</w:t>
      </w:r>
      <w:r w:rsidRPr="005F5CDF">
        <w:t>he TUC Disabled Workers' Conference took place on June 3rd and 4th and the committee</w:t>
      </w:r>
      <w:r>
        <w:t>’</w:t>
      </w:r>
      <w:r w:rsidRPr="005F5CDF">
        <w:t xml:space="preserve">s work in the last quarter has all been related to it. Prospect had 6 delegates plus Gareth Spencer in attendance and delegates spoke on 4 motions this year, all </w:t>
      </w:r>
      <w:proofErr w:type="gramStart"/>
      <w:r w:rsidRPr="005F5CDF">
        <w:t>first time</w:t>
      </w:r>
      <w:proofErr w:type="gramEnd"/>
      <w:r w:rsidRPr="005F5CDF">
        <w:t xml:space="preserve"> speakers at conference.</w:t>
      </w:r>
    </w:p>
    <w:p w14:paraId="07A852C9" w14:textId="77777777" w:rsidR="005F5CDF" w:rsidRPr="005F5CDF" w:rsidRDefault="005F5CDF" w:rsidP="005F5CDF">
      <w:r w:rsidRPr="005F5CDF">
        <w:t>Prospect's motion on disability leave was first on the agenda and was well supported. The conference had no contentious motions this year with all motions carried unanimously.</w:t>
      </w:r>
    </w:p>
    <w:p w14:paraId="5F7C98AC" w14:textId="72DD334F" w:rsidR="005F5CDF" w:rsidRPr="005F5CDF" w:rsidRDefault="005F5CDF" w:rsidP="005F5CDF">
      <w:r w:rsidRPr="005F5CDF">
        <w:t xml:space="preserve">We received numerous emergency motions on the social security cuts (including PIP and Access to Work) and a composite motion of </w:t>
      </w:r>
      <w:proofErr w:type="gramStart"/>
      <w:r w:rsidRPr="005F5CDF">
        <w:t>several</w:t>
      </w:r>
      <w:proofErr w:type="gramEnd"/>
      <w:r w:rsidRPr="005F5CDF">
        <w:t xml:space="preserve"> them was the motion that was elected to send to </w:t>
      </w:r>
      <w:r>
        <w:t>C</w:t>
      </w:r>
      <w:r w:rsidRPr="005F5CDF">
        <w:t>ongress in September.</w:t>
      </w:r>
    </w:p>
    <w:p w14:paraId="49F9EC67" w14:textId="77777777" w:rsidR="005F5CDF" w:rsidRPr="005F5CDF" w:rsidRDefault="005F5CDF" w:rsidP="005F5CDF">
      <w:r w:rsidRPr="005F5CDF">
        <w:t>I chaired the Wednesday morning and was successfully re-elected to the committee for the 2025/2026 cycle.</w:t>
      </w:r>
    </w:p>
    <w:p w14:paraId="13EF172B" w14:textId="77777777" w:rsidR="005F5CDF" w:rsidRDefault="005F5CDF" w:rsidP="005F5CDF">
      <w:r w:rsidRPr="005F5CDF">
        <w:t>Since the last EOAC the TUC have published survey research on Reasonable Adjustments and Bullying and Harassment of disabled people, the reports can be found on the TUC website. They have also circulated their response to the Pathways to Work consultation.</w:t>
      </w:r>
    </w:p>
    <w:p w14:paraId="2B593A9B" w14:textId="14715166" w:rsidR="005F5CDF" w:rsidRDefault="005F5CDF" w:rsidP="005F5CDF">
      <w:pPr>
        <w:rPr>
          <w:b/>
          <w:bCs/>
        </w:rPr>
      </w:pPr>
      <w:r>
        <w:rPr>
          <w:b/>
          <w:bCs/>
        </w:rPr>
        <w:t>Women’s Committee – Sue Ferns</w:t>
      </w:r>
    </w:p>
    <w:p w14:paraId="42FA5B3D" w14:textId="546BC9F1" w:rsidR="005F5CDF" w:rsidRDefault="005F5CDF" w:rsidP="005F5CDF">
      <w:r>
        <w:t>The Women’s Committee meeting on 10 June considered a range of topics.</w:t>
      </w:r>
    </w:p>
    <w:p w14:paraId="15BD412C" w14:textId="33F8AF17" w:rsidR="005F5CDF" w:rsidRDefault="005F5CDF" w:rsidP="005F5CDF">
      <w:r>
        <w:t xml:space="preserve">On the EHRC draft guidance in response to the Supreme Court ruling, committee members agreed to seek consensus on core principles, </w:t>
      </w:r>
      <w:proofErr w:type="spellStart"/>
      <w:r>
        <w:t>tl</w:t>
      </w:r>
      <w:proofErr w:type="spellEnd"/>
      <w:r>
        <w:t xml:space="preserve"> ensure mutual respect, and to rebut attempts to cause divisions on this issue.</w:t>
      </w:r>
      <w:r>
        <w:rPr>
          <w:b/>
          <w:bCs/>
        </w:rPr>
        <w:t xml:space="preserve"> </w:t>
      </w:r>
      <w:r>
        <w:t>Several unions reported that they are seeking to focus on workplace issues, recognising that freelance and self-employed workers can be more vulnerable, particularly in the creative sector.</w:t>
      </w:r>
    </w:p>
    <w:p w14:paraId="55944BFB" w14:textId="5EF89732" w:rsidR="005F5CDF" w:rsidRDefault="005F5CDF" w:rsidP="005F5CDF">
      <w:r>
        <w:t xml:space="preserve">TUC staff reported on work, with Hope not Hate, to tackle the far right. A review of TUC educational materials is </w:t>
      </w:r>
      <w:proofErr w:type="gramStart"/>
      <w:r>
        <w:t>underway</w:t>
      </w:r>
      <w:proofErr w:type="gramEnd"/>
      <w:r>
        <w:t xml:space="preserve"> and research is being commissioned on young men, misogyny and the </w:t>
      </w:r>
      <w:r w:rsidR="002745DF">
        <w:t>far</w:t>
      </w:r>
      <w:r>
        <w:t xml:space="preserve"> right. There will be a fringe meeting at Congress and survey and focus group work will continue into 2026.</w:t>
      </w:r>
    </w:p>
    <w:p w14:paraId="39A8CDD6" w14:textId="63FCA435" w:rsidR="002745DF" w:rsidRDefault="002745DF" w:rsidP="005F5CDF">
      <w:r>
        <w:t xml:space="preserve">MPs </w:t>
      </w:r>
      <w:r w:rsidRPr="002745DF">
        <w:t>Tonia Antoniazzi</w:t>
      </w:r>
      <w:r>
        <w:t xml:space="preserve"> and Stella Creasy both joined the meeting remotely to explain their amendments to the Crime and Policing Bill to decriminalise abortion, which is due to be debated in Parliament in the week beginning 16 June. </w:t>
      </w:r>
    </w:p>
    <w:p w14:paraId="51524EA4" w14:textId="043A1864" w:rsidR="005F5CDF" w:rsidRDefault="00963B51" w:rsidP="005F5CDF">
      <w:pPr>
        <w:rPr>
          <w:b/>
          <w:bCs/>
        </w:rPr>
      </w:pPr>
      <w:r>
        <w:rPr>
          <w:b/>
          <w:bCs/>
        </w:rPr>
        <w:lastRenderedPageBreak/>
        <w:t xml:space="preserve">Black Workers Conference – Asima Habte </w:t>
      </w:r>
      <w:r w:rsidR="00175FB2">
        <w:rPr>
          <w:b/>
          <w:bCs/>
        </w:rPr>
        <w:t>/ Alan Gooden</w:t>
      </w:r>
    </w:p>
    <w:p w14:paraId="3F21A13A" w14:textId="77777777" w:rsidR="00082E4B" w:rsidRPr="00082E4B" w:rsidRDefault="00082E4B" w:rsidP="00082E4B">
      <w:pPr>
        <w:spacing w:before="0"/>
        <w:rPr>
          <w:rFonts w:eastAsia="Aptos"/>
          <w:sz w:val="22"/>
          <w:szCs w:val="22"/>
          <w:lang w:eastAsia="en-US"/>
          <w14:ligatures w14:val="standardContextual"/>
        </w:rPr>
      </w:pPr>
      <w:r w:rsidRPr="00082E4B">
        <w:rPr>
          <w:rFonts w:eastAsia="Aptos"/>
          <w:sz w:val="22"/>
          <w:szCs w:val="22"/>
          <w:lang w:eastAsia="en-US"/>
          <w14:ligatures w14:val="standardContextual"/>
        </w:rPr>
        <w:t>This April, Congress House once again hosted the annual TUC Black Workers’ Conference, a vital gathering that brings together trade unionists from across the country to address the pressing issues facing Black and ethnic minority workers. The conference served as a powerful platform for solidarity, strategy and action.</w:t>
      </w:r>
    </w:p>
    <w:p w14:paraId="0833122E" w14:textId="77777777" w:rsidR="00082E4B" w:rsidRPr="00082E4B" w:rsidRDefault="00082E4B" w:rsidP="00082E4B">
      <w:pPr>
        <w:spacing w:before="0"/>
        <w:rPr>
          <w:rFonts w:eastAsia="Aptos"/>
          <w:sz w:val="22"/>
          <w:szCs w:val="22"/>
          <w:lang w:eastAsia="en-US"/>
          <w14:ligatures w14:val="standardContextual"/>
        </w:rPr>
      </w:pPr>
    </w:p>
    <w:p w14:paraId="2A4D159A" w14:textId="77777777" w:rsidR="00082E4B" w:rsidRPr="00082E4B" w:rsidRDefault="00082E4B" w:rsidP="00082E4B">
      <w:pPr>
        <w:spacing w:before="0"/>
        <w:rPr>
          <w:rFonts w:eastAsia="Aptos"/>
          <w:sz w:val="22"/>
          <w:szCs w:val="22"/>
          <w:lang w:eastAsia="en-US"/>
          <w14:ligatures w14:val="standardContextual"/>
        </w:rPr>
      </w:pPr>
      <w:r w:rsidRPr="00082E4B">
        <w:rPr>
          <w:rFonts w:eastAsia="Aptos"/>
          <w:sz w:val="22"/>
          <w:szCs w:val="22"/>
          <w:lang w:eastAsia="en-US"/>
          <w14:ligatures w14:val="standardContextual"/>
        </w:rPr>
        <w:t>The Conference opened with a striking anecdote from TUC General Secretary Paul Nowak, who recounted his visit to the West Bank the previous week and set the tone by calling for a stronger union movement to fight for racial justice. The Head of the Palestinian Mission to the UK, Dr Husam Zomlot, was the keynote speaker, generating rapturous applause and the audience's rapt attention to his reminders of the need to stand on the right side of history and to continue our proud tradition as trade unionists of being in solidarity with Palestine and the oppressed people of the world.</w:t>
      </w:r>
    </w:p>
    <w:p w14:paraId="6A4272D5" w14:textId="77777777" w:rsidR="00082E4B" w:rsidRPr="00082E4B" w:rsidRDefault="00082E4B" w:rsidP="00082E4B">
      <w:pPr>
        <w:spacing w:before="0"/>
        <w:rPr>
          <w:rFonts w:eastAsia="Aptos"/>
          <w:sz w:val="22"/>
          <w:szCs w:val="22"/>
          <w:lang w:eastAsia="en-US"/>
          <w14:ligatures w14:val="standardContextual"/>
        </w:rPr>
      </w:pPr>
    </w:p>
    <w:p w14:paraId="123C56EF" w14:textId="77777777" w:rsidR="00082E4B" w:rsidRPr="00082E4B" w:rsidRDefault="00082E4B" w:rsidP="00082E4B">
      <w:pPr>
        <w:spacing w:before="0"/>
        <w:rPr>
          <w:rFonts w:eastAsia="Aptos"/>
          <w:sz w:val="22"/>
          <w:szCs w:val="22"/>
          <w:lang w:eastAsia="en-US"/>
          <w14:ligatures w14:val="standardContextual"/>
        </w:rPr>
      </w:pPr>
      <w:r w:rsidRPr="00082E4B">
        <w:rPr>
          <w:rFonts w:eastAsia="Aptos"/>
          <w:sz w:val="22"/>
          <w:szCs w:val="22"/>
          <w:lang w:eastAsia="en-US"/>
          <w14:ligatures w14:val="standardContextual"/>
        </w:rPr>
        <w:t>Our union played an active role in shaping the conversation. Alan Gooden moved our motion on Industrial Strategy for the Digital Sector, which received unanimous support from delegates, a clear endorsement of our vision for a more inclusive and forward-thinking digital economy. We are also proud to share that Alan was voted onto the Race Relations Committee as the sole representative from our union. We had a total of nine representatives in attendance of conference, including three first-time delegates who made impactful contributions by speaking on key motions. These included emergency motions on Palestine, anti-racism campaigning, the rise of the far right, and the ongoing fight for justice following the Grenfell tragedy.</w:t>
      </w:r>
    </w:p>
    <w:p w14:paraId="2FDFC479" w14:textId="77777777" w:rsidR="00082E4B" w:rsidRPr="00082E4B" w:rsidRDefault="00082E4B" w:rsidP="00082E4B">
      <w:pPr>
        <w:spacing w:before="0"/>
        <w:rPr>
          <w:rFonts w:eastAsia="Aptos"/>
          <w:sz w:val="22"/>
          <w:szCs w:val="22"/>
          <w:lang w:eastAsia="en-US"/>
          <w14:ligatures w14:val="standardContextual"/>
        </w:rPr>
      </w:pPr>
    </w:p>
    <w:p w14:paraId="368131E5" w14:textId="77777777" w:rsidR="00082E4B" w:rsidRPr="00082E4B" w:rsidRDefault="00082E4B" w:rsidP="00082E4B">
      <w:pPr>
        <w:spacing w:before="0"/>
        <w:rPr>
          <w:rFonts w:eastAsia="Aptos"/>
          <w:sz w:val="22"/>
          <w:szCs w:val="22"/>
          <w:lang w:eastAsia="en-US"/>
          <w14:ligatures w14:val="standardContextual"/>
        </w:rPr>
      </w:pPr>
      <w:r w:rsidRPr="00082E4B">
        <w:rPr>
          <w:rFonts w:eastAsia="Aptos"/>
          <w:sz w:val="22"/>
          <w:szCs w:val="22"/>
          <w:lang w:eastAsia="en-US"/>
          <w14:ligatures w14:val="standardContextual"/>
        </w:rPr>
        <w:t>It was a positive and energising conference overall, with a notable number of first-time speakers from across all unions. Their contributions offered a real sense of hope for the future and showed that the next generation is ready to step up and lead the fight for equality.</w:t>
      </w:r>
    </w:p>
    <w:p w14:paraId="2EDD2BCE" w14:textId="055663F5" w:rsidR="00175FB2" w:rsidRPr="00082E4B" w:rsidRDefault="00175FB2" w:rsidP="00175FB2">
      <w:r w:rsidRPr="00082E4B">
        <w:t>The next meeting of the Race Relations Advisory Committee is scheduled for 19 June.</w:t>
      </w:r>
    </w:p>
    <w:p w14:paraId="75E63880" w14:textId="0E06F448" w:rsidR="00175FB2" w:rsidRDefault="00674B5D" w:rsidP="00175FB2">
      <w:pPr>
        <w:rPr>
          <w:b/>
          <w:bCs/>
        </w:rPr>
      </w:pPr>
      <w:r>
        <w:rPr>
          <w:b/>
          <w:bCs/>
        </w:rPr>
        <w:t>LGBT+ Committee – Claire Mullaly</w:t>
      </w:r>
    </w:p>
    <w:p w14:paraId="06277980"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t xml:space="preserve">The TUC LGBT+ Committee for 2024 - 2025 formed at the TUC LGBT+ Conference in June 2024. The work of the TUC LGBT+ Committee focussed on the passed motions from the TUC LGBT+ Conference and the Congress motion passed from the TUC LGBT+ Conference. The motion selected by the LGBT+ Conference 2024 to go to TUC Congress 2024 was ‘Fighting the far-right narrative, hate crimes and hate speech to defend LGBT+ rights.’  Our work in the committee has been shaped and  informed by key themes from the wider TUC including: </w:t>
      </w:r>
      <w:r w:rsidRPr="00674B5D">
        <w:rPr>
          <w:rFonts w:eastAsia="Calibri"/>
          <w:sz w:val="24"/>
          <w:szCs w:val="24"/>
          <w:lang w:eastAsia="en-US"/>
        </w:rPr>
        <w:br/>
      </w:r>
      <w:r w:rsidRPr="00674B5D">
        <w:rPr>
          <w:rFonts w:eastAsia="Calibri"/>
          <w:sz w:val="24"/>
          <w:szCs w:val="24"/>
          <w:lang w:eastAsia="en-US"/>
        </w:rPr>
        <w:br/>
        <w:t>· Protecting the right to strike and winning a new deal.</w:t>
      </w:r>
      <w:r w:rsidRPr="00674B5D">
        <w:rPr>
          <w:rFonts w:eastAsia="Calibri"/>
          <w:sz w:val="24"/>
          <w:szCs w:val="24"/>
          <w:lang w:eastAsia="en-US"/>
        </w:rPr>
        <w:br/>
        <w:t>· Building a fairer economy.</w:t>
      </w:r>
      <w:r w:rsidRPr="00674B5D">
        <w:rPr>
          <w:rFonts w:eastAsia="Calibri"/>
          <w:sz w:val="24"/>
          <w:szCs w:val="24"/>
          <w:lang w:eastAsia="en-US"/>
        </w:rPr>
        <w:br/>
        <w:t>· Building a stronger, more diverse movement.</w:t>
      </w:r>
      <w:r w:rsidRPr="00674B5D">
        <w:rPr>
          <w:rFonts w:eastAsia="Calibri"/>
          <w:sz w:val="24"/>
          <w:szCs w:val="24"/>
          <w:lang w:eastAsia="en-US"/>
        </w:rPr>
        <w:br/>
        <w:t>· Winning a better future for working people.</w:t>
      </w:r>
      <w:r w:rsidRPr="00674B5D">
        <w:rPr>
          <w:rFonts w:eastAsia="Calibri"/>
          <w:sz w:val="24"/>
          <w:szCs w:val="24"/>
          <w:lang w:eastAsia="en-US"/>
        </w:rPr>
        <w:br/>
        <w:t>· Working together as a TUC.</w:t>
      </w:r>
      <w:r w:rsidRPr="00674B5D">
        <w:rPr>
          <w:rFonts w:eastAsia="Calibri"/>
          <w:sz w:val="24"/>
          <w:szCs w:val="24"/>
          <w:lang w:eastAsia="en-US"/>
        </w:rPr>
        <w:br/>
      </w:r>
      <w:r w:rsidRPr="00674B5D">
        <w:rPr>
          <w:rFonts w:eastAsia="Calibri"/>
          <w:sz w:val="24"/>
          <w:szCs w:val="24"/>
          <w:lang w:eastAsia="en-US"/>
        </w:rPr>
        <w:br/>
        <w:t xml:space="preserve">The priorities set out in the 2024-26 TUC equalities campaign plan are as </w:t>
      </w:r>
      <w:r w:rsidRPr="00674B5D">
        <w:rPr>
          <w:rFonts w:eastAsia="Calibri"/>
          <w:sz w:val="24"/>
          <w:szCs w:val="24"/>
          <w:lang w:eastAsia="en-US"/>
        </w:rPr>
        <w:lastRenderedPageBreak/>
        <w:t>follows:</w:t>
      </w:r>
      <w:r w:rsidRPr="00674B5D">
        <w:rPr>
          <w:rFonts w:eastAsia="Calibri"/>
          <w:sz w:val="24"/>
          <w:szCs w:val="24"/>
          <w:lang w:eastAsia="en-US"/>
        </w:rPr>
        <w:br/>
      </w:r>
      <w:r w:rsidRPr="00674B5D">
        <w:rPr>
          <w:rFonts w:eastAsia="Calibri"/>
          <w:sz w:val="24"/>
          <w:szCs w:val="24"/>
          <w:lang w:eastAsia="en-US"/>
        </w:rPr>
        <w:br/>
        <w:t>Aim 1 - A growing union movement that reflects the diversity of the working class and has the power to intervene effectively for workers.</w:t>
      </w:r>
      <w:r w:rsidRPr="00674B5D">
        <w:rPr>
          <w:rFonts w:eastAsia="Calibri"/>
          <w:sz w:val="24"/>
          <w:szCs w:val="24"/>
          <w:lang w:eastAsia="en-US"/>
        </w:rPr>
        <w:br/>
        <w:t>Aim 2 - Workplaces where every worker has strong rights and is protected from discrimination.</w:t>
      </w:r>
      <w:r w:rsidRPr="00674B5D">
        <w:rPr>
          <w:rFonts w:eastAsia="Calibri"/>
          <w:sz w:val="24"/>
          <w:szCs w:val="24"/>
          <w:lang w:eastAsia="en-US"/>
        </w:rPr>
        <w:br/>
        <w:t>Aim 3 – A fairer economy that delivers rising wages and strong public services.</w:t>
      </w:r>
      <w:r w:rsidRPr="00674B5D">
        <w:rPr>
          <w:rFonts w:eastAsia="Calibri"/>
          <w:sz w:val="24"/>
          <w:szCs w:val="24"/>
          <w:lang w:eastAsia="en-US"/>
        </w:rPr>
        <w:br/>
        <w:t>Aim 4 - An economy where workers are equipped for the challenges of the future.</w:t>
      </w:r>
      <w:r w:rsidRPr="00674B5D">
        <w:rPr>
          <w:rFonts w:eastAsia="Calibri"/>
          <w:sz w:val="24"/>
          <w:szCs w:val="24"/>
          <w:lang w:eastAsia="en-US"/>
        </w:rPr>
        <w:br/>
        <w:t>Aim 5 - A strong TUC that is sustainable, effective and a great place to work.</w:t>
      </w:r>
      <w:r w:rsidRPr="00674B5D">
        <w:rPr>
          <w:rFonts w:eastAsia="Calibri"/>
          <w:sz w:val="24"/>
          <w:szCs w:val="24"/>
          <w:lang w:eastAsia="en-US"/>
        </w:rPr>
        <w:br/>
      </w:r>
    </w:p>
    <w:p w14:paraId="336CE2BE"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t>The TUC LGBT+ Committee work for 2024 - 2025 focussed particularly closely on Aim 1 and Aim 2 which strives for diversity and protection from discrimination. The Committee held four meetings with the fifth meeting scheduled for the day before the TUC LGBT+ Conference 2025 commences, on Wednesday July 2</w:t>
      </w:r>
      <w:proofErr w:type="gramStart"/>
      <w:r w:rsidRPr="00674B5D">
        <w:rPr>
          <w:rFonts w:eastAsia="Calibri"/>
          <w:sz w:val="24"/>
          <w:szCs w:val="24"/>
          <w:lang w:eastAsia="en-US"/>
        </w:rPr>
        <w:t xml:space="preserve"> 2025</w:t>
      </w:r>
      <w:proofErr w:type="gramEnd"/>
      <w:r w:rsidRPr="00674B5D">
        <w:rPr>
          <w:rFonts w:eastAsia="Calibri"/>
          <w:sz w:val="24"/>
          <w:szCs w:val="24"/>
          <w:lang w:eastAsia="en-US"/>
        </w:rPr>
        <w:t>.</w:t>
      </w:r>
      <w:r w:rsidRPr="00674B5D">
        <w:rPr>
          <w:rFonts w:eastAsia="Calibri"/>
          <w:sz w:val="24"/>
          <w:szCs w:val="24"/>
          <w:lang w:eastAsia="en-US"/>
        </w:rPr>
        <w:br/>
        <w:t xml:space="preserve">In addition to the Committee Meetings, Committee members joined working groups to work on areas of Committee work throughout the year. The working groups met virtually 3 times a year and were convened by working group members themselves. </w:t>
      </w:r>
      <w:r w:rsidRPr="00674B5D">
        <w:rPr>
          <w:rFonts w:eastAsia="Calibri"/>
          <w:sz w:val="24"/>
          <w:szCs w:val="24"/>
          <w:lang w:eastAsia="en-US"/>
        </w:rPr>
        <w:br/>
      </w:r>
      <w:r w:rsidRPr="00674B5D">
        <w:rPr>
          <w:rFonts w:eastAsia="Calibri"/>
          <w:sz w:val="24"/>
          <w:szCs w:val="24"/>
          <w:lang w:eastAsia="en-US"/>
        </w:rPr>
        <w:br/>
        <w:t xml:space="preserve">I convened the International LGBT+ Rights and the Far-Right, Hate Speech &amp; crime working groups. The other TUC LGBT+ Committee working groups are as follows: </w:t>
      </w:r>
      <w:r w:rsidRPr="00674B5D">
        <w:rPr>
          <w:rFonts w:eastAsia="Calibri"/>
          <w:sz w:val="24"/>
          <w:szCs w:val="24"/>
          <w:lang w:eastAsia="en-US"/>
        </w:rPr>
        <w:br/>
      </w:r>
      <w:r w:rsidRPr="00674B5D">
        <w:rPr>
          <w:rFonts w:eastAsia="Calibri"/>
          <w:sz w:val="24"/>
          <w:szCs w:val="24"/>
          <w:lang w:eastAsia="en-US"/>
        </w:rPr>
        <w:br/>
        <w:t>- International LGBT+ Rights</w:t>
      </w:r>
      <w:r w:rsidRPr="00674B5D">
        <w:rPr>
          <w:rFonts w:eastAsia="Calibri"/>
          <w:sz w:val="24"/>
          <w:szCs w:val="24"/>
          <w:lang w:eastAsia="en-US"/>
        </w:rPr>
        <w:br/>
        <w:t>- Far-Right, Hate Speech &amp; Crime</w:t>
      </w:r>
      <w:r w:rsidRPr="00674B5D">
        <w:rPr>
          <w:rFonts w:eastAsia="Calibri"/>
          <w:sz w:val="24"/>
          <w:szCs w:val="24"/>
          <w:lang w:eastAsia="en-US"/>
        </w:rPr>
        <w:br/>
        <w:t>- LGBT+ Health</w:t>
      </w:r>
      <w:r w:rsidRPr="00674B5D">
        <w:rPr>
          <w:rFonts w:eastAsia="Calibri"/>
          <w:sz w:val="24"/>
          <w:szCs w:val="24"/>
          <w:lang w:eastAsia="en-US"/>
        </w:rPr>
        <w:br/>
        <w:t>- Trans &amp; Non-Binary Rights</w:t>
      </w:r>
      <w:r w:rsidRPr="00674B5D">
        <w:rPr>
          <w:rFonts w:eastAsia="Calibri"/>
          <w:sz w:val="24"/>
          <w:szCs w:val="24"/>
          <w:lang w:eastAsia="en-US"/>
        </w:rPr>
        <w:br/>
        <w:t>- RSE</w:t>
      </w:r>
      <w:r w:rsidRPr="00674B5D">
        <w:rPr>
          <w:rFonts w:eastAsia="Calibri"/>
          <w:sz w:val="24"/>
          <w:szCs w:val="24"/>
          <w:lang w:eastAsia="en-US"/>
        </w:rPr>
        <w:br/>
        <w:t>- Anti-Racism</w:t>
      </w:r>
      <w:r w:rsidRPr="00674B5D">
        <w:rPr>
          <w:rFonts w:eastAsia="Calibri"/>
          <w:sz w:val="24"/>
          <w:szCs w:val="24"/>
          <w:lang w:eastAsia="en-US"/>
        </w:rPr>
        <w:br/>
        <w:t>- Cass Report</w:t>
      </w:r>
      <w:r w:rsidRPr="00674B5D">
        <w:rPr>
          <w:rFonts w:eastAsia="Calibri"/>
          <w:sz w:val="24"/>
          <w:szCs w:val="24"/>
          <w:lang w:eastAsia="en-US"/>
        </w:rPr>
        <w:br/>
        <w:t>- TUC LGBT+ Conference 2025</w:t>
      </w:r>
      <w:r w:rsidRPr="00674B5D">
        <w:rPr>
          <w:rFonts w:eastAsia="Calibri"/>
          <w:sz w:val="24"/>
          <w:szCs w:val="24"/>
          <w:lang w:eastAsia="en-US"/>
        </w:rPr>
        <w:br/>
        <w:t>- Intersectionality</w:t>
      </w:r>
      <w:r w:rsidRPr="00674B5D">
        <w:rPr>
          <w:rFonts w:eastAsia="Calibri"/>
          <w:sz w:val="24"/>
          <w:szCs w:val="24"/>
          <w:lang w:eastAsia="en-US"/>
        </w:rPr>
        <w:br/>
      </w:r>
      <w:r w:rsidRPr="00674B5D">
        <w:rPr>
          <w:rFonts w:eastAsia="Calibri"/>
          <w:sz w:val="24"/>
          <w:szCs w:val="24"/>
          <w:lang w:eastAsia="en-US"/>
        </w:rPr>
        <w:br/>
      </w:r>
      <w:r w:rsidRPr="00674B5D">
        <w:rPr>
          <w:rFonts w:eastAsia="Calibri"/>
          <w:sz w:val="24"/>
          <w:szCs w:val="24"/>
          <w:u w:val="single"/>
          <w:lang w:eastAsia="en-US"/>
        </w:rPr>
        <w:t>The Far-Right</w:t>
      </w:r>
      <w:r w:rsidRPr="00674B5D">
        <w:rPr>
          <w:rFonts w:eastAsia="Calibri"/>
          <w:sz w:val="24"/>
          <w:szCs w:val="24"/>
          <w:lang w:eastAsia="en-US"/>
        </w:rPr>
        <w:br/>
      </w:r>
      <w:r w:rsidRPr="00674B5D">
        <w:rPr>
          <w:rFonts w:eastAsia="Calibri"/>
          <w:sz w:val="24"/>
          <w:szCs w:val="24"/>
          <w:lang w:eastAsia="en-US"/>
        </w:rPr>
        <w:br/>
        <w:t xml:space="preserve">During 2024 – 2025, the threat from the far-right increased exponentially. From the August 2024 racist riots across the UK to the June 2025 racist riots in Northern Ireland, the far-right has presented a serious threat to diverse and marginalised groups. The TUC’s Anti-Far right work to tackle the far and </w:t>
      </w:r>
      <w:r w:rsidRPr="00674B5D">
        <w:rPr>
          <w:rFonts w:eastAsia="Calibri"/>
          <w:sz w:val="24"/>
          <w:szCs w:val="24"/>
          <w:lang w:eastAsia="en-US"/>
        </w:rPr>
        <w:lastRenderedPageBreak/>
        <w:t xml:space="preserve">populist right is a response to the growing threat of far-right ideologies in workplaces, communities, and politics. The TUC’s strategy is LGBT+ inclusive and draws on the work of the LGBT+ Committee in ensuring addressing the far right’s threat to the LGBT+ Community is addressed. The threat from the far-right in the UK has manifested itself in physical attacks on LGBT+ people, attacks on LGBT+ inclusive spaces and services, attacks on bodily autonomy, the spread of hate speech and the shifting of the Overton window to the right on matters of human and civil rights afforded to LGBT+ people. </w:t>
      </w:r>
      <w:r w:rsidRPr="00674B5D">
        <w:rPr>
          <w:rFonts w:eastAsia="Calibri"/>
          <w:sz w:val="24"/>
          <w:szCs w:val="24"/>
          <w:lang w:eastAsia="en-US"/>
        </w:rPr>
        <w:br/>
      </w:r>
      <w:r w:rsidRPr="00674B5D">
        <w:rPr>
          <w:rFonts w:eastAsia="Calibri"/>
          <w:sz w:val="24"/>
          <w:szCs w:val="24"/>
          <w:lang w:eastAsia="en-US"/>
        </w:rPr>
        <w:br/>
        <w:t xml:space="preserve">The TUC’s and TUC LGBT+ Committee’s response to the threat of the far-right has been to share in a political education response which allows workers and reps </w:t>
      </w:r>
      <w:proofErr w:type="gramStart"/>
      <w:r w:rsidRPr="00674B5D">
        <w:rPr>
          <w:rFonts w:eastAsia="Calibri"/>
          <w:sz w:val="24"/>
          <w:szCs w:val="24"/>
          <w:lang w:eastAsia="en-US"/>
        </w:rPr>
        <w:t>to  counter</w:t>
      </w:r>
      <w:proofErr w:type="gramEnd"/>
      <w:r w:rsidRPr="00674B5D">
        <w:rPr>
          <w:rFonts w:eastAsia="Calibri"/>
          <w:sz w:val="24"/>
          <w:szCs w:val="24"/>
          <w:lang w:eastAsia="en-US"/>
        </w:rPr>
        <w:t xml:space="preserve"> the rise of the far-right within their workplaces and communities. This is joined by TUC input into research, political interventions and the building of international solidarity.</w:t>
      </w:r>
      <w:r w:rsidRPr="00674B5D">
        <w:rPr>
          <w:rFonts w:eastAsia="Calibri"/>
          <w:sz w:val="24"/>
          <w:szCs w:val="24"/>
          <w:lang w:eastAsia="en-US"/>
        </w:rPr>
        <w:br/>
      </w:r>
      <w:r w:rsidRPr="00674B5D">
        <w:rPr>
          <w:rFonts w:eastAsia="Calibri"/>
          <w:sz w:val="24"/>
          <w:szCs w:val="24"/>
          <w:lang w:eastAsia="en-US"/>
        </w:rPr>
        <w:br/>
      </w:r>
      <w:r w:rsidRPr="00674B5D">
        <w:rPr>
          <w:rFonts w:eastAsia="Calibri"/>
          <w:sz w:val="24"/>
          <w:szCs w:val="24"/>
          <w:u w:val="single"/>
          <w:lang w:eastAsia="en-US"/>
        </w:rPr>
        <w:t>Bullying, Harassment and Discrimination of LGBT+ People in the Workplace.</w:t>
      </w:r>
      <w:r w:rsidRPr="00674B5D">
        <w:rPr>
          <w:rFonts w:eastAsia="Calibri"/>
          <w:sz w:val="24"/>
          <w:szCs w:val="24"/>
          <w:lang w:eastAsia="en-US"/>
        </w:rPr>
        <w:br/>
      </w:r>
      <w:r w:rsidRPr="00674B5D">
        <w:rPr>
          <w:rFonts w:eastAsia="Calibri"/>
          <w:sz w:val="24"/>
          <w:szCs w:val="24"/>
          <w:lang w:eastAsia="en-US"/>
        </w:rPr>
        <w:br/>
        <w:t xml:space="preserve">In August 2024, the TUC published its </w:t>
      </w:r>
      <w:proofErr w:type="gramStart"/>
      <w:r w:rsidRPr="00674B5D">
        <w:rPr>
          <w:rFonts w:eastAsia="Calibri"/>
          <w:sz w:val="24"/>
          <w:szCs w:val="24"/>
          <w:lang w:eastAsia="en-US"/>
        </w:rPr>
        <w:t>long awaited</w:t>
      </w:r>
      <w:proofErr w:type="gramEnd"/>
      <w:r w:rsidRPr="00674B5D">
        <w:rPr>
          <w:rFonts w:eastAsia="Calibri"/>
          <w:sz w:val="24"/>
          <w:szCs w:val="24"/>
          <w:lang w:eastAsia="en-US"/>
        </w:rPr>
        <w:t xml:space="preserve"> research on the bullying and harassment of LGBT+ people in the workplace. Recommendations included LGBT+ workforce data monitoring, a </w:t>
      </w:r>
      <w:proofErr w:type="gramStart"/>
      <w:r w:rsidRPr="00674B5D">
        <w:rPr>
          <w:rFonts w:eastAsia="Calibri"/>
          <w:sz w:val="24"/>
          <w:szCs w:val="24"/>
          <w:lang w:eastAsia="en-US"/>
        </w:rPr>
        <w:t>zero tolerance</w:t>
      </w:r>
      <w:proofErr w:type="gramEnd"/>
      <w:r w:rsidRPr="00674B5D">
        <w:rPr>
          <w:rFonts w:eastAsia="Calibri"/>
          <w:sz w:val="24"/>
          <w:szCs w:val="24"/>
          <w:lang w:eastAsia="en-US"/>
        </w:rPr>
        <w:t xml:space="preserve"> approach to workplace harassment, strengthening workplace policies for an inclusive culture, reform of the GRA to maintain protections for trans and non-binary people in the Equality Act 2010 and the implementation of wider tribunal powers.</w:t>
      </w:r>
      <w:r w:rsidRPr="00674B5D">
        <w:rPr>
          <w:rFonts w:eastAsia="Calibri"/>
          <w:sz w:val="24"/>
          <w:szCs w:val="24"/>
          <w:vertAlign w:val="superscript"/>
          <w:lang w:eastAsia="en-US"/>
        </w:rPr>
        <w:footnoteReference w:id="1"/>
      </w:r>
      <w:r w:rsidRPr="00674B5D">
        <w:rPr>
          <w:rFonts w:eastAsia="Calibri"/>
          <w:sz w:val="24"/>
          <w:szCs w:val="24"/>
          <w:lang w:eastAsia="en-US"/>
        </w:rPr>
        <w:t xml:space="preserve"> </w:t>
      </w:r>
      <w:r w:rsidRPr="00674B5D">
        <w:rPr>
          <w:rFonts w:eastAsia="Calibri"/>
          <w:sz w:val="24"/>
          <w:szCs w:val="24"/>
          <w:lang w:eastAsia="en-US"/>
        </w:rPr>
        <w:br/>
      </w:r>
      <w:r w:rsidRPr="00674B5D">
        <w:rPr>
          <w:rFonts w:eastAsia="Calibri"/>
          <w:sz w:val="24"/>
          <w:szCs w:val="24"/>
          <w:lang w:eastAsia="en-US"/>
        </w:rPr>
        <w:br/>
      </w:r>
      <w:r w:rsidRPr="00674B5D">
        <w:rPr>
          <w:rFonts w:eastAsia="Calibri"/>
          <w:sz w:val="24"/>
          <w:szCs w:val="24"/>
          <w:u w:val="single"/>
          <w:lang w:eastAsia="en-US"/>
        </w:rPr>
        <w:t>The Supreme Court Judgement and EHRC Interim Guidance.</w:t>
      </w:r>
      <w:r w:rsidRPr="00674B5D">
        <w:rPr>
          <w:rFonts w:eastAsia="Calibri"/>
          <w:sz w:val="24"/>
          <w:szCs w:val="24"/>
          <w:lang w:eastAsia="en-US"/>
        </w:rPr>
        <w:br/>
      </w:r>
    </w:p>
    <w:p w14:paraId="7343522F"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t>The Supreme Court’s interpretation of the Equality Act 2010 is contrary to TUC LGBT+ Conference policies passed at TUC Congress in 2018 and in 2020. TUC policy is that all trans identities should be believed and respected; trans women are women, and trans men are men. TUC Congress policy supports the right of all women which includes trans women to access safe spaces whilst supporting the provisions and exceptions within the Equality Act 2010 that allow for the provision of single sex spaces and services and for proportional exclusions.</w:t>
      </w:r>
    </w:p>
    <w:p w14:paraId="78B4D9FE"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lastRenderedPageBreak/>
        <w:t>The TUC has commissioned legal advice to help inform its response to the EHRC consultation and to better support affiliate unions.</w:t>
      </w:r>
    </w:p>
    <w:p w14:paraId="4D1BEE77" w14:textId="77777777" w:rsidR="00674B5D" w:rsidRPr="00674B5D" w:rsidRDefault="00674B5D" w:rsidP="00674B5D">
      <w:pPr>
        <w:spacing w:before="0" w:after="200" w:line="276" w:lineRule="auto"/>
        <w:rPr>
          <w:rFonts w:eastAsia="Calibri"/>
          <w:sz w:val="24"/>
          <w:szCs w:val="24"/>
          <w:u w:val="single"/>
          <w:lang w:eastAsia="en-US"/>
        </w:rPr>
      </w:pPr>
      <w:r w:rsidRPr="00674B5D">
        <w:rPr>
          <w:rFonts w:eastAsia="Calibri"/>
          <w:sz w:val="24"/>
          <w:szCs w:val="24"/>
          <w:lang w:eastAsia="en-US"/>
        </w:rPr>
        <w:br/>
      </w:r>
      <w:r w:rsidRPr="00674B5D">
        <w:rPr>
          <w:rFonts w:eastAsia="Calibri"/>
          <w:sz w:val="24"/>
          <w:szCs w:val="24"/>
          <w:u w:val="single"/>
          <w:lang w:eastAsia="en-US"/>
        </w:rPr>
        <w:t>Trade Unions for Trans and Non-Binary Rights Alliance</w:t>
      </w:r>
    </w:p>
    <w:p w14:paraId="43983B8C"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br/>
        <w:t xml:space="preserve">Throughout 2024 and 2025, the TUC Committee have continued to organise and hold meetings of the Trade Unions for Trans and Non-Binary Rights Alliance (TU4TNB) in various locations across the UK including Brighton and Cardiff, as well as online. </w:t>
      </w:r>
    </w:p>
    <w:p w14:paraId="42314E6A" w14:textId="77777777" w:rsidR="00674B5D" w:rsidRPr="00674B5D" w:rsidRDefault="00674B5D" w:rsidP="00674B5D">
      <w:pPr>
        <w:spacing w:before="0" w:after="200" w:line="276" w:lineRule="auto"/>
        <w:rPr>
          <w:rFonts w:eastAsia="Calibri"/>
          <w:sz w:val="24"/>
          <w:szCs w:val="24"/>
          <w:lang w:eastAsia="en-US"/>
        </w:rPr>
      </w:pPr>
      <w:r w:rsidRPr="00674B5D">
        <w:rPr>
          <w:rFonts w:eastAsia="Calibri"/>
          <w:sz w:val="24"/>
          <w:szCs w:val="24"/>
          <w:lang w:eastAsia="en-US"/>
        </w:rPr>
        <w:t xml:space="preserve">TU4TNB links up trade unions to organise together for trans and non-binary rights at work and in wider </w:t>
      </w:r>
      <w:proofErr w:type="gramStart"/>
      <w:r w:rsidRPr="00674B5D">
        <w:rPr>
          <w:rFonts w:eastAsia="Calibri"/>
          <w:sz w:val="24"/>
          <w:szCs w:val="24"/>
          <w:lang w:eastAsia="en-US"/>
        </w:rPr>
        <w:t>society, and</w:t>
      </w:r>
      <w:proofErr w:type="gramEnd"/>
      <w:r w:rsidRPr="00674B5D">
        <w:rPr>
          <w:rFonts w:eastAsia="Calibri"/>
          <w:sz w:val="24"/>
          <w:szCs w:val="24"/>
          <w:lang w:eastAsia="en-US"/>
        </w:rPr>
        <w:t xml:space="preserve"> build to intersectional alliances. The first meeting of the 2024/2025 coincided with Trans Awareness Week and Trans Day of Remembrance. The second meeting was held to coincide with IDAHOBIT and had two keynote speakers including Shavannah Taj: General Secretary TUC Cymru and Dame Nia Griffith DBE, Labour MP for Llanelli.</w:t>
      </w:r>
      <w:r w:rsidRPr="00674B5D">
        <w:rPr>
          <w:rFonts w:eastAsia="Calibri"/>
          <w:sz w:val="24"/>
          <w:szCs w:val="24"/>
          <w:lang w:eastAsia="en-US"/>
        </w:rPr>
        <w:br/>
      </w:r>
    </w:p>
    <w:p w14:paraId="7685FB2A" w14:textId="0250DFD0" w:rsidR="005F5CDF" w:rsidRPr="005F5CDF" w:rsidRDefault="00674B5D" w:rsidP="003543AD">
      <w:r w:rsidRPr="00674B5D">
        <w:rPr>
          <w:rFonts w:eastAsia="Calibri"/>
          <w:sz w:val="24"/>
          <w:szCs w:val="24"/>
          <w:u w:val="single"/>
          <w:lang w:eastAsia="en-US"/>
        </w:rPr>
        <w:t>Conclusion</w:t>
      </w:r>
      <w:r w:rsidRPr="00674B5D">
        <w:rPr>
          <w:rFonts w:eastAsia="Calibri"/>
          <w:sz w:val="24"/>
          <w:szCs w:val="24"/>
          <w:lang w:eastAsia="en-US"/>
        </w:rPr>
        <w:br/>
      </w:r>
      <w:r w:rsidRPr="00674B5D">
        <w:rPr>
          <w:rFonts w:eastAsia="Calibri"/>
          <w:sz w:val="24"/>
          <w:szCs w:val="24"/>
          <w:lang w:eastAsia="en-US"/>
        </w:rPr>
        <w:br/>
        <w:t xml:space="preserve">2024 – 2025 has presented many challenges to LGBT+ workers internationally and at home. The United Kingdom has plummeted in the rankings of the ILGA Europe Index for LGBTQ+ rights. The UK was first out of 49 countries in </w:t>
      </w:r>
      <w:proofErr w:type="gramStart"/>
      <w:r w:rsidRPr="00674B5D">
        <w:rPr>
          <w:rFonts w:eastAsia="Calibri"/>
          <w:sz w:val="24"/>
          <w:szCs w:val="24"/>
          <w:lang w:eastAsia="en-US"/>
        </w:rPr>
        <w:t>2015,</w:t>
      </w:r>
      <w:proofErr w:type="gramEnd"/>
      <w:r w:rsidRPr="00674B5D">
        <w:rPr>
          <w:rFonts w:eastAsia="Calibri"/>
          <w:sz w:val="24"/>
          <w:szCs w:val="24"/>
          <w:lang w:eastAsia="en-US"/>
        </w:rPr>
        <w:t xml:space="preserve"> it now ranks as seventeenth. LGBT+ rights in the UK are stalling in many areas and regressing in other areas at a rapid. As ILGA demonstrates, the UK and Italy are now the LGBT+ rights outliers in Western Europe.</w:t>
      </w:r>
      <w:r w:rsidRPr="00674B5D">
        <w:rPr>
          <w:rFonts w:eastAsia="Calibri"/>
          <w:sz w:val="24"/>
          <w:szCs w:val="24"/>
          <w:vertAlign w:val="superscript"/>
          <w:lang w:eastAsia="en-US"/>
        </w:rPr>
        <w:footnoteReference w:id="2"/>
      </w:r>
      <w:r w:rsidRPr="00674B5D">
        <w:rPr>
          <w:rFonts w:eastAsia="Calibri"/>
          <w:sz w:val="24"/>
          <w:szCs w:val="24"/>
          <w:lang w:eastAsia="en-US"/>
        </w:rPr>
        <w:t xml:space="preserve"> By putting in place its own formal trade union democratic structure, the TUC furthered the movement for LGBT+ rights, ensuring trade unions worked collectively together to advance LGBT+ rights in work and society more widely. It is essential that LGBT+ workers continue to organise effectively as part of the wider union movement to halt and reverse attacks on hard won rights and freedoms. We strive to ensure all LGBT+ people have equal life chances.</w:t>
      </w:r>
      <w:r w:rsidRPr="00674B5D">
        <w:rPr>
          <w:rFonts w:eastAsia="Calibri"/>
          <w:sz w:val="24"/>
          <w:szCs w:val="24"/>
          <w:lang w:eastAsia="en-US"/>
        </w:rPr>
        <w:br/>
      </w:r>
    </w:p>
    <w:p w14:paraId="76C39EF6" w14:textId="77777777" w:rsidR="00ED677E" w:rsidRDefault="00ED677E" w:rsidP="00E84930">
      <w:r>
        <w:t>Yours sincerely</w:t>
      </w:r>
    </w:p>
    <w:p w14:paraId="49B633D6" w14:textId="77777777" w:rsidR="00ED677E" w:rsidRDefault="00ED677E" w:rsidP="00ED677E"/>
    <w:p w14:paraId="6DEF64F1" w14:textId="4BCF0F72" w:rsidR="00ED677E" w:rsidRDefault="00A60AAB" w:rsidP="00E84930">
      <w:r>
        <w:t>SUE FERNS</w:t>
      </w:r>
    </w:p>
    <w:p w14:paraId="14006757" w14:textId="77777777" w:rsidR="00ED677E" w:rsidRDefault="00ED677E" w:rsidP="00ED677E">
      <w:pPr>
        <w:rPr>
          <w:b/>
        </w:rPr>
      </w:pPr>
    </w:p>
    <w:p w14:paraId="6E893CC2" w14:textId="4D17D9BD" w:rsidR="006D3866" w:rsidRPr="006D3866" w:rsidRDefault="00A60AAB" w:rsidP="00A60AAB">
      <w:r>
        <w:t>Senior Deputy General Secretary</w:t>
      </w:r>
    </w:p>
    <w:sectPr w:rsidR="006D3866" w:rsidRPr="006D3866" w:rsidSect="00ED4724">
      <w:headerReference w:type="even" r:id="rId11"/>
      <w:headerReference w:type="default" r:id="rId12"/>
      <w:footerReference w:type="even" r:id="rId13"/>
      <w:footerReference w:type="default" r:id="rId14"/>
      <w:headerReference w:type="first" r:id="rId15"/>
      <w:footerReference w:type="first" r:id="rId16"/>
      <w:pgSz w:w="11906" w:h="16838"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1233" w14:textId="77777777" w:rsidR="004C6973" w:rsidRDefault="004C6973">
      <w:r>
        <w:separator/>
      </w:r>
    </w:p>
  </w:endnote>
  <w:endnote w:type="continuationSeparator" w:id="0">
    <w:p w14:paraId="5EA2D740" w14:textId="77777777" w:rsidR="004C6973" w:rsidRDefault="004C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21B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0C51BD88" w14:textId="77777777" w:rsidR="001918F6" w:rsidRDefault="001918F6">
    <w:pPr>
      <w:pStyle w:val="Footer"/>
    </w:pPr>
  </w:p>
  <w:p w14:paraId="36E0BF88" w14:textId="77777777" w:rsidR="00DC76CB" w:rsidRDefault="00DC7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96E9" w14:textId="77777777" w:rsidR="00502984" w:rsidRDefault="00502984" w:rsidP="00502984">
    <w:pPr>
      <w:pStyle w:val="Footer"/>
      <w:jc w:val="center"/>
    </w:pPr>
  </w:p>
  <w:p w14:paraId="5EBE6579" w14:textId="77777777" w:rsidR="00502984" w:rsidRDefault="00502984" w:rsidP="00502984">
    <w:pPr>
      <w:pStyle w:val="Footer"/>
      <w:jc w:val="center"/>
    </w:pPr>
  </w:p>
  <w:p w14:paraId="4947C453" w14:textId="77777777" w:rsidR="00DC76CB" w:rsidRDefault="00E34C55" w:rsidP="00502984">
    <w:pPr>
      <w:pStyle w:val="Footer"/>
      <w:jc w:val="center"/>
    </w:pPr>
    <w:r w:rsidRPr="00502984">
      <w:fldChar w:fldCharType="begin"/>
    </w:r>
    <w:r w:rsidRPr="00502984">
      <w:instrText xml:space="preserve">PAGE  </w:instrText>
    </w:r>
    <w:r w:rsidRPr="00502984">
      <w:fldChar w:fldCharType="separate"/>
    </w:r>
    <w:r w:rsidR="00502984">
      <w:rPr>
        <w:noProof/>
      </w:rPr>
      <w:t>2</w:t>
    </w:r>
    <w:r w:rsidRPr="00502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0"/>
      <w:gridCol w:w="4249"/>
    </w:tblGrid>
    <w:tr w:rsidR="00E84930" w:rsidRPr="00CB5A86" w14:paraId="55493DDD" w14:textId="77777777" w:rsidTr="00BD4843">
      <w:tc>
        <w:tcPr>
          <w:tcW w:w="4244" w:type="dxa"/>
          <w:noWrap/>
          <w:vAlign w:val="bottom"/>
        </w:tcPr>
        <w:p w14:paraId="0B269F43" w14:textId="77777777" w:rsidR="005663BA" w:rsidRDefault="005663BA" w:rsidP="005663BA">
          <w:pPr>
            <w:pStyle w:val="Prospectaddress"/>
          </w:pPr>
          <w:r>
            <w:t>Prospect</w:t>
          </w:r>
        </w:p>
        <w:p w14:paraId="63B88E3A" w14:textId="77777777" w:rsidR="005663BA" w:rsidRPr="009E6FEE" w:rsidRDefault="005663BA" w:rsidP="005663BA">
          <w:pPr>
            <w:pStyle w:val="Prospectaddress"/>
          </w:pPr>
          <w:r>
            <w:t>100 Rochester Row</w:t>
          </w:r>
        </w:p>
        <w:p w14:paraId="3A352C73" w14:textId="77777777" w:rsidR="005663BA" w:rsidRPr="00CB5A86" w:rsidRDefault="005663BA" w:rsidP="005663BA">
          <w:pPr>
            <w:pStyle w:val="Prospectaddress"/>
          </w:pPr>
          <w:r w:rsidRPr="00CB5A86">
            <w:t>London</w:t>
          </w:r>
        </w:p>
        <w:p w14:paraId="24F70867" w14:textId="77777777" w:rsidR="00E84930" w:rsidRPr="00CB5A86" w:rsidRDefault="005663BA" w:rsidP="005663BA">
          <w:pPr>
            <w:pStyle w:val="Prospectaddress"/>
          </w:pPr>
          <w:r>
            <w:t>SW1P 1JP</w:t>
          </w:r>
        </w:p>
      </w:tc>
      <w:tc>
        <w:tcPr>
          <w:tcW w:w="4245" w:type="dxa"/>
          <w:noWrap/>
          <w:vAlign w:val="bottom"/>
        </w:tcPr>
        <w:p w14:paraId="340A1BFA" w14:textId="77777777" w:rsidR="00E84930" w:rsidRPr="00CB5A86" w:rsidRDefault="00E84930" w:rsidP="00BD4843">
          <w:pPr>
            <w:pStyle w:val="Prospectaddress"/>
          </w:pPr>
          <w:r w:rsidRPr="00CB5A86">
            <w:t>0300 600 1878</w:t>
          </w:r>
        </w:p>
        <w:p w14:paraId="02E02762" w14:textId="77777777" w:rsidR="00E84930" w:rsidRPr="00CB5A86" w:rsidRDefault="00E84930" w:rsidP="00BD4843">
          <w:pPr>
            <w:pStyle w:val="Prospectaddress"/>
          </w:pPr>
          <w:r w:rsidRPr="00F660E2">
            <w:t>info@prospect.org.uk</w:t>
          </w:r>
        </w:p>
        <w:p w14:paraId="6C537ABE" w14:textId="77777777" w:rsidR="00E84930" w:rsidRPr="00CB5A86" w:rsidRDefault="00E84930" w:rsidP="00BD4843">
          <w:pPr>
            <w:pStyle w:val="Prospectaddress"/>
          </w:pPr>
        </w:p>
        <w:p w14:paraId="5998C84E" w14:textId="77777777" w:rsidR="00E84930" w:rsidRPr="00CB5A86" w:rsidRDefault="00E84930" w:rsidP="00BD4843">
          <w:pPr>
            <w:pStyle w:val="Prospectaddress"/>
          </w:pPr>
          <w:r w:rsidRPr="00CB5A86">
            <w:t>prospect.org.uk</w:t>
          </w:r>
        </w:p>
      </w:tc>
    </w:tr>
  </w:tbl>
  <w:p w14:paraId="75D725D7" w14:textId="77777777" w:rsidR="00193849" w:rsidRPr="00193849" w:rsidRDefault="00193849" w:rsidP="00E84930">
    <w:pPr>
      <w:pStyle w:val="Footer"/>
      <w:spacing w:afterLines="60" w:after="144"/>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74CB" w14:textId="77777777" w:rsidR="004C6973" w:rsidRDefault="004C6973">
      <w:r>
        <w:separator/>
      </w:r>
    </w:p>
  </w:footnote>
  <w:footnote w:type="continuationSeparator" w:id="0">
    <w:p w14:paraId="3272371D" w14:textId="77777777" w:rsidR="004C6973" w:rsidRDefault="004C6973">
      <w:r>
        <w:continuationSeparator/>
      </w:r>
    </w:p>
  </w:footnote>
  <w:footnote w:id="1">
    <w:p w14:paraId="486001C8" w14:textId="77777777" w:rsidR="00674B5D" w:rsidRDefault="00674B5D" w:rsidP="00674B5D">
      <w:pPr>
        <w:pStyle w:val="FootnoteText"/>
      </w:pPr>
      <w:r>
        <w:rPr>
          <w:rStyle w:val="FootnoteReference"/>
        </w:rPr>
        <w:footnoteRef/>
      </w:r>
      <w:r>
        <w:t xml:space="preserve"> </w:t>
      </w:r>
      <w:hyperlink r:id="rId1" w:history="1">
        <w:r w:rsidRPr="00F4465A">
          <w:rPr>
            <w:rStyle w:val="Hyperlink"/>
            <w:rFonts w:ascii="Arial" w:hAnsi="Arial" w:cs="Arial"/>
            <w:sz w:val="24"/>
            <w:szCs w:val="24"/>
          </w:rPr>
          <w:t>https://www.tuc.org.uk/research-analysis/reports/bullying-harassment-and-discrimination-lgbt-people-workplace</w:t>
        </w:r>
      </w:hyperlink>
    </w:p>
  </w:footnote>
  <w:footnote w:id="2">
    <w:p w14:paraId="26313318" w14:textId="77777777" w:rsidR="00674B5D" w:rsidRDefault="00674B5D" w:rsidP="00674B5D">
      <w:pPr>
        <w:pStyle w:val="FootnoteText"/>
      </w:pPr>
      <w:r>
        <w:rPr>
          <w:rStyle w:val="FootnoteReference"/>
        </w:rPr>
        <w:footnoteRef/>
      </w:r>
      <w:r>
        <w:t xml:space="preserve"> </w:t>
      </w:r>
      <w:r w:rsidRPr="00D4673D">
        <w:rPr>
          <w:rFonts w:ascii="Arial" w:hAnsi="Arial" w:cs="Arial"/>
          <w:sz w:val="24"/>
          <w:szCs w:val="24"/>
        </w:rPr>
        <w:t>https://rainbowmap.ilga-europe.org/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6BBE" w14:textId="77777777" w:rsidR="00BD4843" w:rsidRDefault="00BD4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7881" w14:textId="77777777" w:rsidR="00BD4843" w:rsidRDefault="00BD4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B6B6" w14:textId="77777777" w:rsidR="00193849" w:rsidRDefault="00A540F0">
    <w:r>
      <w:rPr>
        <w:noProof/>
      </w:rPr>
      <w:drawing>
        <wp:anchor distT="0" distB="0" distL="114300" distR="114300" simplePos="0" relativeHeight="251659264" behindDoc="0" locked="0" layoutInCell="1" allowOverlap="1" wp14:anchorId="526C7DDF" wp14:editId="2725A3F6">
          <wp:simplePos x="0" y="0"/>
          <wp:positionH relativeFrom="page">
            <wp:align>center</wp:align>
          </wp:positionH>
          <wp:positionV relativeFrom="page">
            <wp:posOffset>453390</wp:posOffset>
          </wp:positionV>
          <wp:extent cx="2001600" cy="1004400"/>
          <wp:effectExtent l="0" t="0" r="5080" b="0"/>
          <wp:wrapTight wrapText="bothSides">
            <wp:wrapPolygon edited="0">
              <wp:start x="10827" y="0"/>
              <wp:lineTo x="6579" y="4918"/>
              <wp:lineTo x="4797" y="5192"/>
              <wp:lineTo x="4523" y="5738"/>
              <wp:lineTo x="4934" y="9290"/>
              <wp:lineTo x="0" y="12569"/>
              <wp:lineTo x="0" y="21313"/>
              <wp:lineTo x="10964" y="21313"/>
              <wp:lineTo x="21518" y="19127"/>
              <wp:lineTo x="21518" y="13662"/>
              <wp:lineTo x="20970" y="13662"/>
              <wp:lineTo x="21244" y="12023"/>
              <wp:lineTo x="19325" y="10930"/>
              <wp:lineTo x="11924" y="9290"/>
              <wp:lineTo x="19599" y="9290"/>
              <wp:lineTo x="20970" y="8744"/>
              <wp:lineTo x="20695" y="4918"/>
              <wp:lineTo x="21381" y="1366"/>
              <wp:lineTo x="20558" y="1093"/>
              <wp:lineTo x="12061" y="0"/>
              <wp:lineTo x="108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995140">
    <w:abstractNumId w:val="2"/>
  </w:num>
  <w:num w:numId="2" w16cid:durableId="1877160043">
    <w:abstractNumId w:val="0"/>
  </w:num>
  <w:num w:numId="3" w16cid:durableId="92749588">
    <w:abstractNumId w:val="1"/>
  </w:num>
  <w:num w:numId="4" w16cid:durableId="65298749">
    <w:abstractNumId w:val="4"/>
  </w:num>
  <w:num w:numId="5" w16cid:durableId="24604038">
    <w:abstractNumId w:val="5"/>
  </w:num>
  <w:num w:numId="6" w16cid:durableId="1867207343">
    <w:abstractNumId w:val="3"/>
  </w:num>
  <w:num w:numId="7" w16cid:durableId="929118877">
    <w:abstractNumId w:val="1"/>
  </w:num>
  <w:num w:numId="8" w16cid:durableId="175265247">
    <w:abstractNumId w:val="1"/>
  </w:num>
  <w:num w:numId="9" w16cid:durableId="1413039396">
    <w:abstractNumId w:val="1"/>
  </w:num>
  <w:num w:numId="10" w16cid:durableId="1613131092">
    <w:abstractNumId w:val="1"/>
  </w:num>
  <w:num w:numId="11" w16cid:durableId="1489982252">
    <w:abstractNumId w:val="1"/>
  </w:num>
  <w:num w:numId="12" w16cid:durableId="1509294829">
    <w:abstractNumId w:val="0"/>
  </w:num>
  <w:num w:numId="13" w16cid:durableId="1653370371">
    <w:abstractNumId w:val="0"/>
  </w:num>
  <w:num w:numId="14" w16cid:durableId="1938174841">
    <w:abstractNumId w:val="0"/>
  </w:num>
  <w:num w:numId="15" w16cid:durableId="1278608407">
    <w:abstractNumId w:val="0"/>
  </w:num>
  <w:num w:numId="16" w16cid:durableId="209311568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DF"/>
    <w:rsid w:val="00025ECB"/>
    <w:rsid w:val="00032DF0"/>
    <w:rsid w:val="00064583"/>
    <w:rsid w:val="000765A0"/>
    <w:rsid w:val="00082524"/>
    <w:rsid w:val="00082E4B"/>
    <w:rsid w:val="001004E8"/>
    <w:rsid w:val="00100C4B"/>
    <w:rsid w:val="00141B29"/>
    <w:rsid w:val="001465A5"/>
    <w:rsid w:val="00146F22"/>
    <w:rsid w:val="001520AF"/>
    <w:rsid w:val="0015465B"/>
    <w:rsid w:val="00167C0A"/>
    <w:rsid w:val="00175FB2"/>
    <w:rsid w:val="00183D96"/>
    <w:rsid w:val="001918F6"/>
    <w:rsid w:val="00193849"/>
    <w:rsid w:val="00244EF3"/>
    <w:rsid w:val="002745DF"/>
    <w:rsid w:val="002B48FC"/>
    <w:rsid w:val="002C6B8C"/>
    <w:rsid w:val="002E2A35"/>
    <w:rsid w:val="00337530"/>
    <w:rsid w:val="003425DB"/>
    <w:rsid w:val="003543AD"/>
    <w:rsid w:val="00366762"/>
    <w:rsid w:val="003808A6"/>
    <w:rsid w:val="003A579B"/>
    <w:rsid w:val="003B2FE9"/>
    <w:rsid w:val="00423A64"/>
    <w:rsid w:val="0047381D"/>
    <w:rsid w:val="004915D6"/>
    <w:rsid w:val="004C6973"/>
    <w:rsid w:val="00502984"/>
    <w:rsid w:val="00521A6D"/>
    <w:rsid w:val="00521E08"/>
    <w:rsid w:val="005663BA"/>
    <w:rsid w:val="005B38C8"/>
    <w:rsid w:val="005F5CDF"/>
    <w:rsid w:val="006404CE"/>
    <w:rsid w:val="00643A7A"/>
    <w:rsid w:val="00662F22"/>
    <w:rsid w:val="00667E2B"/>
    <w:rsid w:val="00674B5D"/>
    <w:rsid w:val="00695BA2"/>
    <w:rsid w:val="006A2192"/>
    <w:rsid w:val="006A38A9"/>
    <w:rsid w:val="006C7C77"/>
    <w:rsid w:val="006D3043"/>
    <w:rsid w:val="006D3866"/>
    <w:rsid w:val="007328F4"/>
    <w:rsid w:val="00752F15"/>
    <w:rsid w:val="00771506"/>
    <w:rsid w:val="007D0958"/>
    <w:rsid w:val="007D5AE7"/>
    <w:rsid w:val="007F4B7B"/>
    <w:rsid w:val="00805BD9"/>
    <w:rsid w:val="0083192C"/>
    <w:rsid w:val="00867417"/>
    <w:rsid w:val="008B0412"/>
    <w:rsid w:val="008B50D5"/>
    <w:rsid w:val="008E0B5F"/>
    <w:rsid w:val="0090150D"/>
    <w:rsid w:val="00950594"/>
    <w:rsid w:val="00953586"/>
    <w:rsid w:val="009637B8"/>
    <w:rsid w:val="00963B51"/>
    <w:rsid w:val="009D1B93"/>
    <w:rsid w:val="009F1D87"/>
    <w:rsid w:val="00A0020C"/>
    <w:rsid w:val="00A540F0"/>
    <w:rsid w:val="00A60AAB"/>
    <w:rsid w:val="00AD0AA9"/>
    <w:rsid w:val="00B24081"/>
    <w:rsid w:val="00BA7AB3"/>
    <w:rsid w:val="00BB38E4"/>
    <w:rsid w:val="00BD4843"/>
    <w:rsid w:val="00BF6A25"/>
    <w:rsid w:val="00C545C7"/>
    <w:rsid w:val="00C84201"/>
    <w:rsid w:val="00C87D87"/>
    <w:rsid w:val="00C957C2"/>
    <w:rsid w:val="00CD1DF7"/>
    <w:rsid w:val="00D02B4A"/>
    <w:rsid w:val="00D37FEC"/>
    <w:rsid w:val="00D44FC5"/>
    <w:rsid w:val="00D574CB"/>
    <w:rsid w:val="00DA60C0"/>
    <w:rsid w:val="00DC76CB"/>
    <w:rsid w:val="00DE23D0"/>
    <w:rsid w:val="00E06306"/>
    <w:rsid w:val="00E34C55"/>
    <w:rsid w:val="00E45D5F"/>
    <w:rsid w:val="00E75683"/>
    <w:rsid w:val="00E831C5"/>
    <w:rsid w:val="00E84930"/>
    <w:rsid w:val="00EA5F22"/>
    <w:rsid w:val="00EC3171"/>
    <w:rsid w:val="00EC73EB"/>
    <w:rsid w:val="00ED4724"/>
    <w:rsid w:val="00ED677E"/>
    <w:rsid w:val="00EE572E"/>
    <w:rsid w:val="00F0063B"/>
    <w:rsid w:val="00F04FC4"/>
    <w:rsid w:val="00F4074C"/>
    <w:rsid w:val="00F40DA3"/>
    <w:rsid w:val="00F60F30"/>
    <w:rsid w:val="00F83201"/>
    <w:rsid w:val="00FA3EEC"/>
    <w:rsid w:val="00FB0DAC"/>
    <w:rsid w:val="00FE2582"/>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B6578"/>
  <w15:docId w15:val="{69694E77-35D0-4301-9B51-D0BC43C3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30"/>
    <w:pPr>
      <w:spacing w:before="180"/>
    </w:pPr>
    <w:rPr>
      <w:rFonts w:ascii="Arial" w:hAnsi="Arial" w:cs="Arial"/>
      <w:sz w:val="21"/>
      <w:szCs w:val="21"/>
    </w:rPr>
  </w:style>
  <w:style w:type="paragraph" w:styleId="Heading1">
    <w:name w:val="heading 1"/>
    <w:next w:val="Normal"/>
    <w:link w:val="Heading1Char"/>
    <w:rsid w:val="00E84930"/>
    <w:pPr>
      <w:keepNext/>
      <w:numPr>
        <w:numId w:val="1"/>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E84930"/>
    <w:pPr>
      <w:numPr>
        <w:numId w:val="0"/>
      </w:numPr>
      <w:spacing w:after="120"/>
      <w:outlineLvl w:val="1"/>
    </w:pPr>
    <w:rPr>
      <w:sz w:val="32"/>
    </w:rPr>
  </w:style>
  <w:style w:type="paragraph" w:styleId="Heading3">
    <w:name w:val="heading 3"/>
    <w:basedOn w:val="Heading2"/>
    <w:next w:val="Normal"/>
    <w:link w:val="Heading3Char"/>
    <w:qFormat/>
    <w:rsid w:val="00E84930"/>
    <w:pPr>
      <w:tabs>
        <w:tab w:val="left" w:pos="567"/>
      </w:tabs>
      <w:outlineLvl w:val="2"/>
    </w:pPr>
    <w:rPr>
      <w:sz w:val="28"/>
    </w:rPr>
  </w:style>
  <w:style w:type="paragraph" w:styleId="Heading4">
    <w:name w:val="heading 4"/>
    <w:basedOn w:val="Heading3"/>
    <w:next w:val="Normal"/>
    <w:link w:val="Heading4Char"/>
    <w:rsid w:val="00E84930"/>
    <w:pPr>
      <w:adjustRightInd w:val="0"/>
      <w:spacing w:before="120"/>
      <w:outlineLvl w:val="3"/>
    </w:pPr>
    <w:rPr>
      <w:sz w:val="24"/>
    </w:rPr>
  </w:style>
  <w:style w:type="paragraph" w:styleId="Heading5">
    <w:name w:val="heading 5"/>
    <w:basedOn w:val="Heading4"/>
    <w:next w:val="Normal"/>
    <w:link w:val="Heading5Char"/>
    <w:rsid w:val="00E84930"/>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D3866"/>
    <w:pPr>
      <w:numPr>
        <w:numId w:val="11"/>
      </w:numPr>
      <w:tabs>
        <w:tab w:val="left" w:pos="1701"/>
      </w:tabs>
      <w:spacing w:before="120"/>
    </w:pPr>
  </w:style>
  <w:style w:type="paragraph" w:customStyle="1" w:styleId="ListNumbered">
    <w:name w:val="List Numbered"/>
    <w:basedOn w:val="Normal"/>
    <w:semiHidden/>
    <w:qFormat/>
    <w:rsid w:val="00E84930"/>
    <w:pPr>
      <w:spacing w:before="20" w:after="20"/>
      <w:ind w:left="360" w:hanging="360"/>
    </w:pPr>
  </w:style>
  <w:style w:type="character" w:customStyle="1" w:styleId="FooterChar">
    <w:name w:val="Footer Char"/>
    <w:link w:val="Footer"/>
    <w:rsid w:val="00E84930"/>
    <w:rPr>
      <w:rFonts w:ascii="Arial" w:hAnsi="Arial" w:cs="Arial"/>
      <w:sz w:val="14"/>
      <w:szCs w:val="21"/>
    </w:rPr>
  </w:style>
  <w:style w:type="character" w:customStyle="1" w:styleId="Heading1Char">
    <w:name w:val="Heading 1 Char"/>
    <w:link w:val="Heading1"/>
    <w:rsid w:val="00E84930"/>
    <w:rPr>
      <w:rFonts w:ascii="Arial" w:hAnsi="Arial" w:cs="Arial"/>
      <w:b/>
      <w:kern w:val="32"/>
      <w:sz w:val="36"/>
      <w:lang w:eastAsia="en-US"/>
    </w:rPr>
  </w:style>
  <w:style w:type="paragraph" w:styleId="Footer">
    <w:name w:val="footer"/>
    <w:basedOn w:val="Normal"/>
    <w:next w:val="Normal"/>
    <w:link w:val="FooterChar"/>
    <w:rsid w:val="00E84930"/>
    <w:rPr>
      <w:sz w:val="14"/>
    </w:rPr>
  </w:style>
  <w:style w:type="character" w:customStyle="1" w:styleId="Heading2Char">
    <w:name w:val="Heading 2 Char"/>
    <w:link w:val="Heading2"/>
    <w:rsid w:val="00E84930"/>
    <w:rPr>
      <w:rFonts w:ascii="Arial" w:hAnsi="Arial" w:cs="Arial"/>
      <w:b/>
      <w:kern w:val="32"/>
      <w:sz w:val="32"/>
      <w:lang w:eastAsia="en-US"/>
    </w:rPr>
  </w:style>
  <w:style w:type="paragraph" w:customStyle="1" w:styleId="Heading3numbered">
    <w:name w:val="Heading 3 numbered"/>
    <w:basedOn w:val="Heading3"/>
    <w:next w:val="Normal"/>
    <w:rsid w:val="00E84930"/>
    <w:pPr>
      <w:numPr>
        <w:ilvl w:val="2"/>
        <w:numId w:val="1"/>
      </w:numPr>
      <w:tabs>
        <w:tab w:val="clear" w:pos="567"/>
      </w:tabs>
    </w:pPr>
  </w:style>
  <w:style w:type="paragraph" w:customStyle="1" w:styleId="Heading4numbered">
    <w:name w:val="Heading 4 numbered"/>
    <w:basedOn w:val="Heading4"/>
    <w:next w:val="Normal"/>
    <w:rsid w:val="00E84930"/>
    <w:pPr>
      <w:numPr>
        <w:ilvl w:val="3"/>
        <w:numId w:val="1"/>
      </w:numPr>
      <w:tabs>
        <w:tab w:val="clear" w:pos="567"/>
      </w:tabs>
    </w:pPr>
  </w:style>
  <w:style w:type="paragraph" w:customStyle="1" w:styleId="Heading5numbered">
    <w:name w:val="Heading 5 numbered"/>
    <w:basedOn w:val="Heading5"/>
    <w:next w:val="Normal"/>
    <w:rsid w:val="00E84930"/>
    <w:pPr>
      <w:numPr>
        <w:ilvl w:val="4"/>
        <w:numId w:val="1"/>
      </w:numPr>
      <w:tabs>
        <w:tab w:val="clear" w:pos="567"/>
        <w:tab w:val="left" w:pos="1134"/>
      </w:tabs>
    </w:pPr>
  </w:style>
  <w:style w:type="character" w:customStyle="1" w:styleId="Heading3Char">
    <w:name w:val="Heading 3 Char"/>
    <w:link w:val="Heading3"/>
    <w:rsid w:val="00E84930"/>
    <w:rPr>
      <w:rFonts w:ascii="Arial" w:hAnsi="Arial" w:cs="Arial"/>
      <w:b/>
      <w:kern w:val="32"/>
      <w:sz w:val="28"/>
      <w:lang w:eastAsia="en-US"/>
    </w:rPr>
  </w:style>
  <w:style w:type="character" w:customStyle="1" w:styleId="Heading4Char">
    <w:name w:val="Heading 4 Char"/>
    <w:link w:val="Heading4"/>
    <w:rsid w:val="00E84930"/>
    <w:rPr>
      <w:rFonts w:ascii="Arial" w:hAnsi="Arial" w:cs="Arial"/>
      <w:b/>
      <w:kern w:val="32"/>
      <w:sz w:val="24"/>
      <w:lang w:eastAsia="en-US"/>
    </w:rPr>
  </w:style>
  <w:style w:type="character" w:customStyle="1" w:styleId="Heading5Char">
    <w:name w:val="Heading 5 Char"/>
    <w:link w:val="Heading5"/>
    <w:rsid w:val="00E84930"/>
    <w:rPr>
      <w:rFonts w:ascii="Arial" w:hAnsi="Arial" w:cs="Arial"/>
      <w:b/>
      <w:kern w:val="32"/>
      <w:sz w:val="21"/>
      <w:lang w:eastAsia="en-US"/>
    </w:rPr>
  </w:style>
  <w:style w:type="paragraph" w:customStyle="1" w:styleId="Normalindented">
    <w:name w:val="Normal indented"/>
    <w:basedOn w:val="Normal"/>
    <w:rsid w:val="00E84930"/>
    <w:pPr>
      <w:ind w:left="340"/>
    </w:pPr>
  </w:style>
  <w:style w:type="numbering" w:customStyle="1" w:styleId="Headings">
    <w:name w:val="Headings"/>
    <w:uiPriority w:val="99"/>
    <w:rsid w:val="00E84930"/>
    <w:pPr>
      <w:numPr>
        <w:numId w:val="1"/>
      </w:numPr>
    </w:pPr>
  </w:style>
  <w:style w:type="paragraph" w:styleId="ListParagraph">
    <w:name w:val="List Paragraph"/>
    <w:basedOn w:val="Normal"/>
    <w:uiPriority w:val="34"/>
    <w:semiHidden/>
    <w:qFormat/>
    <w:rsid w:val="00E84930"/>
    <w:pPr>
      <w:ind w:left="720"/>
      <w:contextualSpacing/>
    </w:pPr>
  </w:style>
  <w:style w:type="paragraph" w:styleId="ListBullet2">
    <w:name w:val="List Bullet 2"/>
    <w:basedOn w:val="Normal"/>
    <w:uiPriority w:val="99"/>
    <w:semiHidden/>
    <w:rsid w:val="006D3866"/>
    <w:pPr>
      <w:numPr>
        <w:ilvl w:val="1"/>
        <w:numId w:val="11"/>
      </w:numPr>
      <w:tabs>
        <w:tab w:val="left" w:pos="680"/>
        <w:tab w:val="left" w:pos="1021"/>
      </w:tabs>
      <w:spacing w:before="120"/>
    </w:pPr>
  </w:style>
  <w:style w:type="paragraph" w:styleId="ListBullet3">
    <w:name w:val="List Bullet 3"/>
    <w:basedOn w:val="Normal"/>
    <w:uiPriority w:val="99"/>
    <w:semiHidden/>
    <w:rsid w:val="006D3866"/>
    <w:pPr>
      <w:numPr>
        <w:ilvl w:val="2"/>
        <w:numId w:val="11"/>
      </w:numPr>
      <w:tabs>
        <w:tab w:val="left" w:pos="1021"/>
      </w:tabs>
      <w:spacing w:before="120"/>
    </w:pPr>
  </w:style>
  <w:style w:type="paragraph" w:styleId="ListBullet4">
    <w:name w:val="List Bullet 4"/>
    <w:basedOn w:val="Normal"/>
    <w:uiPriority w:val="99"/>
    <w:semiHidden/>
    <w:rsid w:val="006D3866"/>
    <w:pPr>
      <w:numPr>
        <w:ilvl w:val="3"/>
        <w:numId w:val="11"/>
      </w:numPr>
      <w:spacing w:before="20" w:after="40"/>
    </w:pPr>
  </w:style>
  <w:style w:type="paragraph" w:styleId="ListBullet5">
    <w:name w:val="List Bullet 5"/>
    <w:basedOn w:val="Normal"/>
    <w:uiPriority w:val="99"/>
    <w:semiHidden/>
    <w:rsid w:val="006D3866"/>
    <w:pPr>
      <w:numPr>
        <w:ilvl w:val="4"/>
        <w:numId w:val="11"/>
      </w:numPr>
      <w:spacing w:before="20" w:after="40"/>
    </w:pPr>
  </w:style>
  <w:style w:type="numbering" w:customStyle="1" w:styleId="ListBullets">
    <w:name w:val="ListBullets"/>
    <w:uiPriority w:val="99"/>
    <w:rsid w:val="00E84930"/>
    <w:pPr>
      <w:numPr>
        <w:numId w:val="3"/>
      </w:numPr>
    </w:pPr>
  </w:style>
  <w:style w:type="paragraph" w:styleId="ListNumber">
    <w:name w:val="List Number"/>
    <w:basedOn w:val="Normal"/>
    <w:rsid w:val="006D3866"/>
    <w:pPr>
      <w:numPr>
        <w:numId w:val="16"/>
      </w:numPr>
      <w:tabs>
        <w:tab w:val="left" w:pos="340"/>
        <w:tab w:val="left" w:pos="680"/>
        <w:tab w:val="left" w:pos="1021"/>
      </w:tabs>
      <w:spacing w:before="120"/>
    </w:pPr>
  </w:style>
  <w:style w:type="paragraph" w:styleId="ListNumber2">
    <w:name w:val="List Number 2"/>
    <w:basedOn w:val="Normal"/>
    <w:uiPriority w:val="99"/>
    <w:semiHidden/>
    <w:rsid w:val="006D3866"/>
    <w:pPr>
      <w:numPr>
        <w:ilvl w:val="1"/>
        <w:numId w:val="16"/>
      </w:numPr>
      <w:tabs>
        <w:tab w:val="left" w:pos="680"/>
        <w:tab w:val="left" w:pos="1021"/>
      </w:tabs>
      <w:spacing w:before="120"/>
    </w:pPr>
  </w:style>
  <w:style w:type="paragraph" w:styleId="ListNumber3">
    <w:name w:val="List Number 3"/>
    <w:basedOn w:val="Normal"/>
    <w:uiPriority w:val="99"/>
    <w:semiHidden/>
    <w:rsid w:val="006D3866"/>
    <w:pPr>
      <w:numPr>
        <w:ilvl w:val="2"/>
        <w:numId w:val="16"/>
      </w:numPr>
      <w:tabs>
        <w:tab w:val="left" w:pos="1021"/>
        <w:tab w:val="left" w:pos="1361"/>
      </w:tabs>
      <w:spacing w:before="120"/>
    </w:pPr>
  </w:style>
  <w:style w:type="paragraph" w:styleId="ListNumber4">
    <w:name w:val="List Number 4"/>
    <w:basedOn w:val="Normal"/>
    <w:uiPriority w:val="99"/>
    <w:semiHidden/>
    <w:rsid w:val="006D3866"/>
    <w:pPr>
      <w:numPr>
        <w:ilvl w:val="3"/>
        <w:numId w:val="16"/>
      </w:numPr>
      <w:spacing w:before="20" w:after="40"/>
    </w:pPr>
  </w:style>
  <w:style w:type="paragraph" w:styleId="ListNumber5">
    <w:name w:val="List Number 5"/>
    <w:basedOn w:val="Normal"/>
    <w:uiPriority w:val="99"/>
    <w:semiHidden/>
    <w:rsid w:val="006D3866"/>
    <w:pPr>
      <w:numPr>
        <w:ilvl w:val="4"/>
        <w:numId w:val="16"/>
      </w:numPr>
      <w:spacing w:before="20" w:after="40"/>
    </w:pPr>
  </w:style>
  <w:style w:type="numbering" w:customStyle="1" w:styleId="ListNumbers">
    <w:name w:val="ListNumbers"/>
    <w:uiPriority w:val="99"/>
    <w:rsid w:val="00E84930"/>
    <w:pPr>
      <w:numPr>
        <w:numId w:val="4"/>
      </w:numPr>
    </w:pPr>
  </w:style>
  <w:style w:type="paragraph" w:styleId="Header">
    <w:name w:val="header"/>
    <w:basedOn w:val="Normal"/>
    <w:link w:val="HeaderChar"/>
    <w:uiPriority w:val="99"/>
    <w:unhideWhenUsed/>
    <w:rsid w:val="00E84930"/>
    <w:pPr>
      <w:tabs>
        <w:tab w:val="center" w:pos="4513"/>
        <w:tab w:val="right" w:pos="9026"/>
      </w:tabs>
      <w:spacing w:before="0"/>
    </w:pPr>
  </w:style>
  <w:style w:type="character" w:customStyle="1" w:styleId="HeaderChar">
    <w:name w:val="Header Char"/>
    <w:basedOn w:val="DefaultParagraphFont"/>
    <w:link w:val="Header"/>
    <w:uiPriority w:val="99"/>
    <w:rsid w:val="00E84930"/>
    <w:rPr>
      <w:rFonts w:ascii="Arial" w:hAnsi="Arial" w:cs="Arial"/>
      <w:sz w:val="21"/>
      <w:szCs w:val="21"/>
    </w:rPr>
  </w:style>
  <w:style w:type="table" w:customStyle="1" w:styleId="TableGridLight1">
    <w:name w:val="Table Grid Light1"/>
    <w:basedOn w:val="TableNormal"/>
    <w:uiPriority w:val="40"/>
    <w:rsid w:val="00E84930"/>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qFormat/>
    <w:rsid w:val="00E84930"/>
    <w:pPr>
      <w:spacing w:before="0"/>
      <w:contextualSpacing/>
    </w:pPr>
    <w:rPr>
      <w:sz w:val="19"/>
    </w:rPr>
  </w:style>
  <w:style w:type="character" w:styleId="Hyperlink">
    <w:name w:val="Hyperlink"/>
    <w:basedOn w:val="DefaultParagraphFont"/>
    <w:uiPriority w:val="99"/>
    <w:unhideWhenUsed/>
    <w:rsid w:val="00E84930"/>
    <w:rPr>
      <w:color w:val="0000FF" w:themeColor="hyperlink"/>
      <w:u w:val="single"/>
    </w:rPr>
  </w:style>
  <w:style w:type="paragraph" w:customStyle="1" w:styleId="largeprint">
    <w:name w:val="largeprint"/>
    <w:basedOn w:val="Normal"/>
    <w:qFormat/>
    <w:rsid w:val="00E84930"/>
    <w:pPr>
      <w:spacing w:before="240" w:line="400" w:lineRule="exact"/>
    </w:pPr>
    <w:rPr>
      <w:sz w:val="28"/>
    </w:rPr>
  </w:style>
  <w:style w:type="paragraph" w:customStyle="1" w:styleId="letter-date">
    <w:name w:val="letter-date"/>
    <w:basedOn w:val="Normal"/>
    <w:qFormat/>
    <w:rsid w:val="00E84930"/>
    <w:pPr>
      <w:spacing w:before="140"/>
    </w:pPr>
  </w:style>
  <w:style w:type="paragraph" w:customStyle="1" w:styleId="letter-reference">
    <w:name w:val="letter-reference"/>
    <w:basedOn w:val="Normal"/>
    <w:qFormat/>
    <w:rsid w:val="00E84930"/>
    <w:pPr>
      <w:spacing w:before="460"/>
    </w:pPr>
  </w:style>
  <w:style w:type="paragraph" w:customStyle="1" w:styleId="letter-salutation">
    <w:name w:val="letter-salutation"/>
    <w:basedOn w:val="Normal"/>
    <w:qFormat/>
    <w:rsid w:val="00E84930"/>
    <w:pPr>
      <w:tabs>
        <w:tab w:val="left" w:pos="3721"/>
      </w:tabs>
      <w:spacing w:before="480"/>
    </w:pPr>
  </w:style>
  <w:style w:type="paragraph" w:customStyle="1" w:styleId="Normalnospaceafterorbefore">
    <w:name w:val="Normal no space after or before"/>
    <w:basedOn w:val="Normal"/>
    <w:rsid w:val="00E84930"/>
    <w:pPr>
      <w:spacing w:before="0"/>
    </w:pPr>
  </w:style>
  <w:style w:type="paragraph" w:customStyle="1" w:styleId="letter-signoff-contact-details">
    <w:name w:val="letter-signoff-contact-details"/>
    <w:basedOn w:val="Normalnospaceafterorbefore"/>
    <w:qFormat/>
    <w:rsid w:val="00E84930"/>
  </w:style>
  <w:style w:type="paragraph" w:customStyle="1" w:styleId="letter-signoff-email">
    <w:name w:val="letter-signoff-email"/>
    <w:basedOn w:val="Normal"/>
    <w:qFormat/>
    <w:rsid w:val="00E84930"/>
    <w:pPr>
      <w:spacing w:before="0" w:after="180"/>
    </w:pPr>
  </w:style>
  <w:style w:type="paragraph" w:customStyle="1" w:styleId="letter-signoff-job-title">
    <w:name w:val="letter-signoff-job-title"/>
    <w:basedOn w:val="Normal"/>
    <w:qFormat/>
    <w:rsid w:val="00E84930"/>
    <w:pPr>
      <w:spacing w:before="0" w:after="180"/>
    </w:pPr>
  </w:style>
  <w:style w:type="paragraph" w:customStyle="1" w:styleId="letter-signoff-name">
    <w:name w:val="letter-signoff-name"/>
    <w:basedOn w:val="Normalnospaceafterorbefore"/>
    <w:qFormat/>
    <w:rsid w:val="00E84930"/>
    <w:pPr>
      <w:spacing w:before="1000"/>
    </w:pPr>
  </w:style>
  <w:style w:type="paragraph" w:customStyle="1" w:styleId="letter-subject-line">
    <w:name w:val="letter-subject-line"/>
    <w:basedOn w:val="Normal"/>
    <w:qFormat/>
    <w:rsid w:val="00E84930"/>
    <w:rPr>
      <w:b/>
    </w:rPr>
  </w:style>
  <w:style w:type="paragraph" w:styleId="NormalIndent">
    <w:name w:val="Normal Indent"/>
    <w:basedOn w:val="Normal"/>
    <w:uiPriority w:val="99"/>
    <w:semiHidden/>
    <w:unhideWhenUsed/>
    <w:rsid w:val="00E84930"/>
    <w:pPr>
      <w:ind w:left="567"/>
    </w:pPr>
  </w:style>
  <w:style w:type="paragraph" w:customStyle="1" w:styleId="Normalnumberedparas">
    <w:name w:val="Normal numbered paras"/>
    <w:basedOn w:val="NormalIndent"/>
    <w:qFormat/>
    <w:rsid w:val="00E84930"/>
    <w:pPr>
      <w:tabs>
        <w:tab w:val="left" w:pos="454"/>
      </w:tabs>
      <w:spacing w:before="120" w:after="240"/>
      <w:ind w:left="0"/>
    </w:pPr>
  </w:style>
  <w:style w:type="paragraph" w:customStyle="1" w:styleId="Normalnumberedparas1">
    <w:name w:val="Normal numbered paras 1"/>
    <w:basedOn w:val="NormalIndent"/>
    <w:qFormat/>
    <w:rsid w:val="00E84930"/>
    <w:pPr>
      <w:numPr>
        <w:numId w:val="5"/>
      </w:numPr>
      <w:tabs>
        <w:tab w:val="left" w:pos="454"/>
      </w:tabs>
    </w:pPr>
  </w:style>
  <w:style w:type="paragraph" w:customStyle="1" w:styleId="Normalnumberedparasa">
    <w:name w:val="Normal numbered paras a)"/>
    <w:basedOn w:val="Normalnumberedparas1"/>
    <w:qFormat/>
    <w:rsid w:val="00E84930"/>
    <w:pPr>
      <w:numPr>
        <w:numId w:val="6"/>
      </w:numPr>
      <w:tabs>
        <w:tab w:val="clear" w:pos="454"/>
        <w:tab w:val="left" w:pos="340"/>
      </w:tabs>
    </w:pPr>
  </w:style>
  <w:style w:type="paragraph" w:customStyle="1" w:styleId="Normaltabletext">
    <w:name w:val="Normal table text"/>
    <w:basedOn w:val="Normal"/>
    <w:rsid w:val="00E84930"/>
    <w:pPr>
      <w:spacing w:before="60" w:after="60"/>
    </w:pPr>
    <w:rPr>
      <w:lang w:eastAsia="en-US"/>
    </w:rPr>
  </w:style>
  <w:style w:type="table" w:styleId="TableGrid">
    <w:name w:val="Table Grid"/>
    <w:basedOn w:val="TableNormal"/>
    <w:uiPriority w:val="59"/>
    <w:rsid w:val="00E84930"/>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4B5D"/>
    <w:pPr>
      <w:spacing w:before="0"/>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674B5D"/>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674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6433">
      <w:bodyDiv w:val="1"/>
      <w:marLeft w:val="0"/>
      <w:marRight w:val="0"/>
      <w:marTop w:val="0"/>
      <w:marBottom w:val="0"/>
      <w:divBdr>
        <w:top w:val="none" w:sz="0" w:space="0" w:color="auto"/>
        <w:left w:val="none" w:sz="0" w:space="0" w:color="auto"/>
        <w:bottom w:val="none" w:sz="0" w:space="0" w:color="auto"/>
        <w:right w:val="none" w:sz="0" w:space="0" w:color="auto"/>
      </w:divBdr>
    </w:div>
    <w:div w:id="439884895">
      <w:bodyDiv w:val="1"/>
      <w:marLeft w:val="0"/>
      <w:marRight w:val="0"/>
      <w:marTop w:val="0"/>
      <w:marBottom w:val="0"/>
      <w:divBdr>
        <w:top w:val="none" w:sz="0" w:space="0" w:color="auto"/>
        <w:left w:val="none" w:sz="0" w:space="0" w:color="auto"/>
        <w:bottom w:val="none" w:sz="0" w:space="0" w:color="auto"/>
        <w:right w:val="none" w:sz="0" w:space="0" w:color="auto"/>
      </w:divBdr>
    </w:div>
    <w:div w:id="752169514">
      <w:bodyDiv w:val="1"/>
      <w:marLeft w:val="0"/>
      <w:marRight w:val="0"/>
      <w:marTop w:val="0"/>
      <w:marBottom w:val="0"/>
      <w:divBdr>
        <w:top w:val="none" w:sz="0" w:space="0" w:color="auto"/>
        <w:left w:val="none" w:sz="0" w:space="0" w:color="auto"/>
        <w:bottom w:val="none" w:sz="0" w:space="0" w:color="auto"/>
        <w:right w:val="none" w:sz="0" w:space="0" w:color="auto"/>
      </w:divBdr>
    </w:div>
    <w:div w:id="1635060417">
      <w:bodyDiv w:val="1"/>
      <w:marLeft w:val="0"/>
      <w:marRight w:val="0"/>
      <w:marTop w:val="0"/>
      <w:marBottom w:val="0"/>
      <w:divBdr>
        <w:top w:val="none" w:sz="0" w:space="0" w:color="auto"/>
        <w:left w:val="none" w:sz="0" w:space="0" w:color="auto"/>
        <w:bottom w:val="none" w:sz="0" w:space="0" w:color="auto"/>
        <w:right w:val="none" w:sz="0" w:space="0" w:color="auto"/>
      </w:divBdr>
    </w:div>
    <w:div w:id="16783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uc.org.uk/research-analysis/reports/bullying-harassment-and-discrimination-lgbt-people-workpla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circular.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7450F-D08F-9E4B-A7F0-EB3FB1DE25C7}">
  <ds:schemaRefs>
    <ds:schemaRef ds:uri="http://schemas.openxmlformats.org/officeDocument/2006/bibliography"/>
  </ds:schemaRefs>
</ds:datastoreItem>
</file>

<file path=customXml/itemProps2.xml><?xml version="1.0" encoding="utf-8"?>
<ds:datastoreItem xmlns:ds="http://schemas.openxmlformats.org/officeDocument/2006/customXml" ds:itemID="{A1D1F73D-8C20-4825-8F5B-395E9B2652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9CEE5F-5C64-4235-ABAD-81DDD0651672}">
  <ds:schemaRefs>
    <ds:schemaRef ds:uri="http://schemas.microsoft.com/sharepoint/v3/contenttype/forms"/>
  </ds:schemaRefs>
</ds:datastoreItem>
</file>

<file path=customXml/itemProps4.xml><?xml version="1.0" encoding="utf-8"?>
<ds:datastoreItem xmlns:ds="http://schemas.openxmlformats.org/officeDocument/2006/customXml" ds:itemID="{CCB3BFA4-F915-45C8-AE4C-21912A680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circular</Template>
  <TotalTime>0</TotalTime>
  <Pages>5</Pages>
  <Words>1736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Nicola Giblin</cp:lastModifiedBy>
  <cp:revision>9</cp:revision>
  <cp:lastPrinted>2006-01-26T18:56:00Z</cp:lastPrinted>
  <dcterms:created xsi:type="dcterms:W3CDTF">2025-06-13T07:20:00Z</dcterms:created>
  <dcterms:modified xsi:type="dcterms:W3CDTF">2025-08-14T14:49:00Z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0x010100E61D33980497C243927B8DD616CD9175</vt:lpwstr>
  </property>
</Properties>
</file>