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6CF1" w14:textId="77777777" w:rsidR="000E6A60" w:rsidRDefault="000E6A60" w:rsidP="000E6A60">
      <w:pPr>
        <w:rPr>
          <w:noProof/>
        </w:rPr>
      </w:pPr>
    </w:p>
    <w:p w14:paraId="3ED511E6" w14:textId="77777777" w:rsidR="000E6A60" w:rsidRDefault="000E6A60" w:rsidP="000E6A60"/>
    <w:p w14:paraId="0F1C6ED0" w14:textId="77777777" w:rsidR="000E6A60" w:rsidRDefault="000E6A60" w:rsidP="000E6A60"/>
    <w:p w14:paraId="50D3D543" w14:textId="77777777" w:rsidR="000E6A60" w:rsidRDefault="000E6A60" w:rsidP="000E6A60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0E6A60" w14:paraId="71EA4FFB" w14:textId="77777777" w:rsidTr="00365A9C">
        <w:tc>
          <w:tcPr>
            <w:tcW w:w="434" w:type="dxa"/>
          </w:tcPr>
          <w:p w14:paraId="69A951EA" w14:textId="77777777" w:rsidR="000E6A60" w:rsidRDefault="000E6A60" w:rsidP="00365A9C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1FB87166" w14:textId="77777777" w:rsidR="000E6A60" w:rsidRPr="00E84930" w:rsidRDefault="000E6A60" w:rsidP="00365A9C">
            <w:pPr>
              <w:pStyle w:val="Normalnospaceafterorbefore"/>
            </w:pPr>
            <w:r w:rsidRPr="00FA769B">
              <w:t>NEC Health and Safety Advisory Sub-Committee</w:t>
            </w:r>
          </w:p>
        </w:tc>
        <w:tc>
          <w:tcPr>
            <w:tcW w:w="3544" w:type="dxa"/>
            <w:tcMar>
              <w:left w:w="57" w:type="dxa"/>
            </w:tcMar>
          </w:tcPr>
          <w:p w14:paraId="01E32568" w14:textId="702ED14B" w:rsidR="000E6A60" w:rsidRPr="00E84930" w:rsidRDefault="0043581B" w:rsidP="00365A9C">
            <w:pPr>
              <w:pStyle w:val="Normalnospaceafterorbefore"/>
            </w:pPr>
            <w:r>
              <w:t>30</w:t>
            </w:r>
            <w:r w:rsidR="000E6A60">
              <w:t xml:space="preserve"> June 2025</w:t>
            </w:r>
          </w:p>
          <w:p w14:paraId="021EC7F9" w14:textId="77777777" w:rsidR="000E6A60" w:rsidRDefault="000E6A60" w:rsidP="00365A9C">
            <w:r>
              <w:fldChar w:fldCharType="begin">
                <w:ffData>
                  <w:name w:val=""/>
                  <w:enabled/>
                  <w:calcOnExit w:val="0"/>
                  <w:textInput>
                    <w:default w:val="CIRCULAR NUMBER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Circular Number</w:t>
            </w:r>
            <w:r>
              <w:fldChar w:fldCharType="end"/>
            </w:r>
          </w:p>
        </w:tc>
      </w:tr>
    </w:tbl>
    <w:p w14:paraId="450B4DAF" w14:textId="77777777" w:rsidR="000E6A60" w:rsidRDefault="000E6A60" w:rsidP="000E6A60"/>
    <w:p w14:paraId="5DB00E5C" w14:textId="77777777" w:rsidR="000E6A60" w:rsidRDefault="000E6A60" w:rsidP="000E6A60"/>
    <w:p w14:paraId="4623CCD1" w14:textId="77777777" w:rsidR="000E6A60" w:rsidRDefault="000E6A60" w:rsidP="000E6A60">
      <w:r>
        <w:t>Dear colleague</w:t>
      </w:r>
    </w:p>
    <w:p w14:paraId="0DD2BCD1" w14:textId="5643E414" w:rsidR="0043581B" w:rsidRPr="00C11020" w:rsidRDefault="000E6A60" w:rsidP="0043581B">
      <w:pPr>
        <w:pStyle w:val="Heading2"/>
      </w:pPr>
      <w:r>
        <w:t xml:space="preserve">Health and safety </w:t>
      </w:r>
      <w:r w:rsidR="0043581B">
        <w:t xml:space="preserve">regulatory and policy </w:t>
      </w:r>
      <w:r w:rsidR="0043581B" w:rsidRPr="00C11020">
        <w:t xml:space="preserve">update </w:t>
      </w:r>
    </w:p>
    <w:p w14:paraId="3D6E6EF1" w14:textId="332C6D1C" w:rsidR="000E6A60" w:rsidRDefault="000E6A60" w:rsidP="000E6A60">
      <w:r w:rsidRPr="00F75B81">
        <w:t xml:space="preserve">Please find attached a paper providing an </w:t>
      </w:r>
      <w:r w:rsidR="0043581B">
        <w:t xml:space="preserve">update on health and safety regulation and </w:t>
      </w:r>
      <w:r w:rsidR="007F0B01">
        <w:t>policy</w:t>
      </w:r>
      <w:r w:rsidR="00D337E0">
        <w:t xml:space="preserve">. </w:t>
      </w:r>
      <w:r w:rsidR="007F0B01">
        <w:t xml:space="preserve"> </w:t>
      </w:r>
    </w:p>
    <w:p w14:paraId="50A2F6D4" w14:textId="77777777" w:rsidR="000E6A60" w:rsidRDefault="000E6A60" w:rsidP="000E6A60">
      <w:r>
        <w:t>Yours sincerely</w:t>
      </w:r>
    </w:p>
    <w:p w14:paraId="16E416B5" w14:textId="77777777" w:rsidR="000E6A60" w:rsidRDefault="000E6A60" w:rsidP="000E6A60"/>
    <w:p w14:paraId="4747E29D" w14:textId="77777777" w:rsidR="000E6A60" w:rsidRDefault="000E6A60" w:rsidP="000E6A60">
      <w:r>
        <w:t>Chris Warburton</w:t>
      </w:r>
    </w:p>
    <w:p w14:paraId="2BCD781A" w14:textId="77777777" w:rsidR="000E6A60" w:rsidRDefault="000E6A60" w:rsidP="000E6A60">
      <w:pPr>
        <w:rPr>
          <w:b/>
        </w:rPr>
      </w:pPr>
    </w:p>
    <w:p w14:paraId="048559D6" w14:textId="77777777" w:rsidR="000E6A60" w:rsidRDefault="000E6A60" w:rsidP="000E6A60">
      <w:r>
        <w:t>Health and safety research officer</w:t>
      </w:r>
    </w:p>
    <w:p w14:paraId="056790E0" w14:textId="77777777" w:rsidR="00743371" w:rsidRDefault="00743371">
      <w:pPr>
        <w:spacing w:before="0" w:after="180" w:line="280" w:lineRule="exact"/>
        <w:rPr>
          <w:rFonts w:cs="Arial"/>
          <w:b/>
          <w:kern w:val="32"/>
          <w:sz w:val="32"/>
          <w:lang w:eastAsia="en-US"/>
        </w:rPr>
      </w:pPr>
      <w:r>
        <w:br w:type="page"/>
      </w:r>
    </w:p>
    <w:p w14:paraId="41CF36C1" w14:textId="50A92E71" w:rsidR="00A57292" w:rsidRPr="00C11020" w:rsidRDefault="00B66A05" w:rsidP="00FF7D55">
      <w:pPr>
        <w:pStyle w:val="Heading2"/>
      </w:pPr>
      <w:r>
        <w:lastRenderedPageBreak/>
        <w:t xml:space="preserve">Regulatory and </w:t>
      </w:r>
      <w:r w:rsidR="009425D3">
        <w:t xml:space="preserve">policy </w:t>
      </w:r>
      <w:r w:rsidR="005548A3" w:rsidRPr="00C11020">
        <w:t xml:space="preserve">update </w:t>
      </w:r>
    </w:p>
    <w:p w14:paraId="2050C93E" w14:textId="77777777" w:rsidR="009425D3" w:rsidRDefault="009425D3" w:rsidP="009425D3">
      <w:pPr>
        <w:rPr>
          <w:b/>
          <w:bCs/>
        </w:rPr>
      </w:pPr>
      <w:r w:rsidRPr="00167A3A">
        <w:rPr>
          <w:b/>
          <w:bCs/>
        </w:rPr>
        <w:t>BSI</w:t>
      </w:r>
      <w:r>
        <w:rPr>
          <w:b/>
          <w:bCs/>
        </w:rPr>
        <w:t xml:space="preserve"> consultation on</w:t>
      </w:r>
      <w:r w:rsidRPr="00167A3A">
        <w:rPr>
          <w:b/>
          <w:bCs/>
        </w:rPr>
        <w:t xml:space="preserve"> suicide </w:t>
      </w:r>
      <w:r>
        <w:rPr>
          <w:b/>
          <w:bCs/>
        </w:rPr>
        <w:t xml:space="preserve">prevention guideline </w:t>
      </w:r>
    </w:p>
    <w:p w14:paraId="564518F4" w14:textId="77777777" w:rsidR="009425D3" w:rsidRPr="00B34E0A" w:rsidRDefault="009425D3" w:rsidP="009425D3">
      <w:pPr>
        <w:rPr>
          <w:bCs/>
        </w:rPr>
      </w:pPr>
      <w:r w:rsidRPr="00CF3B1A">
        <w:t xml:space="preserve">The British Standards Institute is consulting on new </w:t>
      </w:r>
      <w:hyperlink r:id="rId7" w:history="1">
        <w:r w:rsidRPr="00CF3B1A">
          <w:rPr>
            <w:rStyle w:val="Hyperlink"/>
          </w:rPr>
          <w:t>guidelines for employers on the prevention, intervention and support for people affected by suicide</w:t>
        </w:r>
      </w:hyperlink>
      <w:r w:rsidRPr="00CF3B1A">
        <w:t>. The standard aim</w:t>
      </w:r>
      <w:r>
        <w:t xml:space="preserve">s to </w:t>
      </w:r>
      <w:r w:rsidRPr="00CF3B1A">
        <w:t>provid</w:t>
      </w:r>
      <w:r>
        <w:t>e</w:t>
      </w:r>
      <w:r w:rsidRPr="00CF3B1A">
        <w:t xml:space="preserve"> guidance that assists </w:t>
      </w:r>
      <w:r>
        <w:t xml:space="preserve">employers discharge </w:t>
      </w:r>
      <w:r w:rsidRPr="00CF3B1A">
        <w:t xml:space="preserve">their responsibility to workers and, where appropriate, those that use their services. It provides </w:t>
      </w:r>
      <w:r>
        <w:t>advice on</w:t>
      </w:r>
      <w:r w:rsidRPr="00CF3B1A">
        <w:t xml:space="preserve"> systematic</w:t>
      </w:r>
      <w:r>
        <w:t xml:space="preserve"> </w:t>
      </w:r>
      <w:r w:rsidRPr="00CF3B1A">
        <w:t>prevention and intervention measures</w:t>
      </w:r>
      <w:r>
        <w:t xml:space="preserve">; providing </w:t>
      </w:r>
      <w:r w:rsidRPr="00CF3B1A">
        <w:t>support for people affected by suicide</w:t>
      </w:r>
      <w:r>
        <w:t xml:space="preserve">; </w:t>
      </w:r>
      <w:r w:rsidRPr="00CF3B1A">
        <w:t xml:space="preserve">and </w:t>
      </w:r>
      <w:r>
        <w:t xml:space="preserve">how </w:t>
      </w:r>
      <w:r w:rsidRPr="00CF3B1A">
        <w:t>to monitor their effectiveness/impact to identify any need for adjustment. Prospect will be submitting a short response to the consultation</w:t>
      </w:r>
      <w:r>
        <w:rPr>
          <w:bCs/>
        </w:rPr>
        <w:t xml:space="preserve">, which closes on 16 July. </w:t>
      </w:r>
    </w:p>
    <w:p w14:paraId="2FCD3E3A" w14:textId="1EA3D7F6" w:rsidR="00194DA9" w:rsidRPr="00194DA9" w:rsidRDefault="00194DA9" w:rsidP="00194DA9">
      <w:pPr>
        <w:numPr>
          <w:ilvl w:val="0"/>
          <w:numId w:val="1"/>
        </w:numPr>
        <w:rPr>
          <w:b/>
          <w:bCs/>
        </w:rPr>
      </w:pPr>
      <w:r w:rsidRPr="00194DA9">
        <w:rPr>
          <w:b/>
          <w:bCs/>
        </w:rPr>
        <w:t>Keep Britain Working</w:t>
      </w:r>
      <w:r>
        <w:rPr>
          <w:b/>
          <w:bCs/>
        </w:rPr>
        <w:t xml:space="preserve"> (Mayfield) Review </w:t>
      </w:r>
    </w:p>
    <w:p w14:paraId="59E81BB4" w14:textId="3AEAD0EA" w:rsidR="009425D3" w:rsidRDefault="00E80101" w:rsidP="00585E65">
      <w:r w:rsidRPr="00E80101">
        <w:t>In January, t</w:t>
      </w:r>
      <w:r w:rsidR="002E0C31" w:rsidRPr="00E80101">
        <w:t>he government commissioned a review, led by Sir Charlie Mayfield</w:t>
      </w:r>
      <w:r w:rsidR="00006ED5">
        <w:t xml:space="preserve"> – formerly c</w:t>
      </w:r>
      <w:r w:rsidR="00006ED5" w:rsidRPr="00006ED5">
        <w:t>hairman of the John Lewis Partnership and the UK Commission for Employment and Skills </w:t>
      </w:r>
      <w:r w:rsidR="00006ED5">
        <w:t xml:space="preserve">– </w:t>
      </w:r>
      <w:r w:rsidR="002E0C31" w:rsidRPr="00E80101">
        <w:t>into health</w:t>
      </w:r>
      <w:r w:rsidR="00B05F11">
        <w:t>-</w:t>
      </w:r>
      <w:r w:rsidR="002E0C31" w:rsidRPr="00E80101">
        <w:t>related inactivit</w:t>
      </w:r>
      <w:r w:rsidR="0055508A">
        <w:t>y</w:t>
      </w:r>
      <w:r w:rsidR="002E0C31" w:rsidRPr="00E80101">
        <w:t>. </w:t>
      </w:r>
    </w:p>
    <w:p w14:paraId="6D372B71" w14:textId="6100CA7D" w:rsidR="00EB2858" w:rsidRPr="00E80101" w:rsidRDefault="00EB2858" w:rsidP="00872D82">
      <w:r w:rsidRPr="00EB2858">
        <w:t xml:space="preserve">The aim is to make recommendations to the </w:t>
      </w:r>
      <w:r>
        <w:t>g</w:t>
      </w:r>
      <w:r w:rsidRPr="00EB2858">
        <w:t>overnment on</w:t>
      </w:r>
      <w:r w:rsidR="00872D82">
        <w:t xml:space="preserve"> a) </w:t>
      </w:r>
      <w:r w:rsidRPr="00EB2858">
        <w:t>what more employers can do to tackle economic inactivity due to ill-health and disability, and</w:t>
      </w:r>
      <w:r w:rsidR="00872D82">
        <w:t xml:space="preserve"> b) </w:t>
      </w:r>
      <w:r w:rsidRPr="00EB2858">
        <w:t>what the government would need to do to encourage and support people living with ill-health and disabled people in work.</w:t>
      </w:r>
    </w:p>
    <w:p w14:paraId="3A793ED5" w14:textId="692B58D6" w:rsidR="001C7EA8" w:rsidRDefault="00B566A6" w:rsidP="00585E65">
      <w:r w:rsidRPr="00B566A6">
        <w:t xml:space="preserve">On 20 March, the government published the </w:t>
      </w:r>
      <w:hyperlink r:id="rId8" w:history="1">
        <w:r w:rsidRPr="00BB6BF0">
          <w:rPr>
            <w:rStyle w:val="Hyperlink"/>
          </w:rPr>
          <w:t>discovery phase of the review</w:t>
        </w:r>
      </w:hyperlink>
      <w:r w:rsidR="005D0779">
        <w:t xml:space="preserve">. It </w:t>
      </w:r>
      <w:r w:rsidR="005D0779" w:rsidRPr="005D0779">
        <w:t xml:space="preserve">sets out how </w:t>
      </w:r>
      <w:r w:rsidR="005D0779">
        <w:t xml:space="preserve">Mayfield currently </w:t>
      </w:r>
      <w:r w:rsidR="005D0779" w:rsidRPr="005D0779">
        <w:t>see</w:t>
      </w:r>
      <w:r w:rsidR="005D0779">
        <w:t>s</w:t>
      </w:r>
      <w:r w:rsidR="005D0779" w:rsidRPr="005D0779">
        <w:t xml:space="preserve"> economic inactivity, including the issues </w:t>
      </w:r>
      <w:r w:rsidR="005D0779">
        <w:t>he</w:t>
      </w:r>
      <w:r w:rsidR="005D0779" w:rsidRPr="005D0779">
        <w:t xml:space="preserve"> think</w:t>
      </w:r>
      <w:r w:rsidR="005D0779">
        <w:t>s</w:t>
      </w:r>
      <w:r w:rsidR="005D0779" w:rsidRPr="005D0779">
        <w:t xml:space="preserve"> need to be addressed to improve it.</w:t>
      </w:r>
      <w:r w:rsidR="001C7EA8">
        <w:t xml:space="preserve"> Findings include: </w:t>
      </w:r>
    </w:p>
    <w:p w14:paraId="0B756947" w14:textId="13A6B924" w:rsidR="00D326D8" w:rsidRDefault="00977730" w:rsidP="00B02E09">
      <w:pPr>
        <w:numPr>
          <w:ilvl w:val="0"/>
          <w:numId w:val="13"/>
        </w:numPr>
      </w:pPr>
      <w:r>
        <w:t xml:space="preserve">Since 2019, nearly 800,000 more people are </w:t>
      </w:r>
      <w:r w:rsidR="00575B7B">
        <w:t>inactive</w:t>
      </w:r>
      <w:r>
        <w:t xml:space="preserve"> due to ill health – a 40% increase – and 8.7 million now </w:t>
      </w:r>
      <w:r w:rsidR="00575B7B">
        <w:t>report</w:t>
      </w:r>
      <w:r>
        <w:t xml:space="preserve"> work-limiting conditions</w:t>
      </w:r>
      <w:r w:rsidR="004E148C">
        <w:t xml:space="preserve"> – o</w:t>
      </w:r>
      <w:r w:rsidR="004E148C" w:rsidRPr="004E148C">
        <w:t>ne in five of all people of working age</w:t>
      </w:r>
      <w:r w:rsidR="004E148C">
        <w:t xml:space="preserve">. </w:t>
      </w:r>
      <w:r w:rsidR="004B05DD">
        <w:t xml:space="preserve">Largest increases are among younger people (16-34) and older people (50-64). </w:t>
      </w:r>
    </w:p>
    <w:p w14:paraId="2A94B083" w14:textId="77777777" w:rsidR="006B7E28" w:rsidRDefault="006B7E28" w:rsidP="006B7E28">
      <w:pPr>
        <w:numPr>
          <w:ilvl w:val="0"/>
          <w:numId w:val="13"/>
        </w:numPr>
        <w:spacing w:before="0"/>
      </w:pPr>
      <w:r w:rsidRPr="00664914">
        <w:t>If someone becomes unemployed their chances of moving into or returning within a year is 47%.</w:t>
      </w:r>
      <w:r>
        <w:t xml:space="preserve"> </w:t>
      </w:r>
      <w:r w:rsidRPr="00664914">
        <w:t>This falls to just 3.8% if they become economically inactive for health reasons.</w:t>
      </w:r>
    </w:p>
    <w:p w14:paraId="1847CFBD" w14:textId="77612A39" w:rsidR="00DA6749" w:rsidRDefault="00DA6749" w:rsidP="00575B7B">
      <w:pPr>
        <w:numPr>
          <w:ilvl w:val="0"/>
          <w:numId w:val="13"/>
        </w:numPr>
        <w:spacing w:before="0"/>
      </w:pPr>
      <w:r>
        <w:t>E</w:t>
      </w:r>
      <w:r w:rsidRPr="00DA6749">
        <w:t xml:space="preserve">conomic inactivity has worsened in the UK in comparison to other countries. In countries that perform better, </w:t>
      </w:r>
      <w:r w:rsidR="00204BEB">
        <w:t xml:space="preserve">health and employment </w:t>
      </w:r>
      <w:r w:rsidRPr="00DA6749">
        <w:t xml:space="preserve">systems </w:t>
      </w:r>
      <w:r w:rsidR="00204BEB">
        <w:t xml:space="preserve">are </w:t>
      </w:r>
      <w:r w:rsidRPr="00DA6749">
        <w:t>weighted towards prevention, retention and rapid rehabilitation</w:t>
      </w:r>
      <w:r>
        <w:t>, whereas</w:t>
      </w:r>
      <w:r w:rsidR="006B7E28">
        <w:t xml:space="preserve"> in</w:t>
      </w:r>
      <w:r>
        <w:t xml:space="preserve"> </w:t>
      </w:r>
      <w:r w:rsidRPr="00DA6749">
        <w:t xml:space="preserve">the UK </w:t>
      </w:r>
      <w:r w:rsidR="006B7E28">
        <w:t xml:space="preserve">they are </w:t>
      </w:r>
      <w:r w:rsidRPr="00DA6749">
        <w:t>not.</w:t>
      </w:r>
    </w:p>
    <w:p w14:paraId="27AC78B8" w14:textId="27D8DDEA" w:rsidR="00736DB1" w:rsidRDefault="00736DB1" w:rsidP="00575B7B">
      <w:pPr>
        <w:numPr>
          <w:ilvl w:val="0"/>
          <w:numId w:val="13"/>
        </w:numPr>
        <w:spacing w:before="0"/>
      </w:pPr>
      <w:r>
        <w:t xml:space="preserve">Highlights how </w:t>
      </w:r>
      <w:r w:rsidRPr="00736DB1">
        <w:t>prevention, retention, early intervention and rapid rehabilitation in the workplace are likely to be more effective remedies over time</w:t>
      </w:r>
      <w:r>
        <w:t xml:space="preserve"> and that g</w:t>
      </w:r>
      <w:r w:rsidRPr="00736DB1">
        <w:t>ood work can be protective of health</w:t>
      </w:r>
      <w:r w:rsidR="009A212E">
        <w:t xml:space="preserve">. </w:t>
      </w:r>
    </w:p>
    <w:p w14:paraId="5F38C395" w14:textId="35AA468C" w:rsidR="009A212E" w:rsidRPr="00664914" w:rsidRDefault="009A212E" w:rsidP="00575B7B">
      <w:pPr>
        <w:numPr>
          <w:ilvl w:val="0"/>
          <w:numId w:val="13"/>
        </w:numPr>
        <w:spacing w:before="0"/>
      </w:pPr>
      <w:r>
        <w:t xml:space="preserve">Recommendations are likely to focus on </w:t>
      </w:r>
      <w:r w:rsidR="00230DA2">
        <w:t>i</w:t>
      </w:r>
      <w:r>
        <w:t xml:space="preserve">ncentives </w:t>
      </w:r>
      <w:r w:rsidR="00AB0735">
        <w:t xml:space="preserve">for employers to invest, </w:t>
      </w:r>
      <w:r w:rsidR="00930A17">
        <w:t>encouraging</w:t>
      </w:r>
      <w:r w:rsidR="00AB0735">
        <w:t xml:space="preserve"> early intervention and </w:t>
      </w:r>
      <w:r w:rsidR="00930A17">
        <w:t xml:space="preserve">developing an individual case management approach. </w:t>
      </w:r>
    </w:p>
    <w:p w14:paraId="2895CE63" w14:textId="67BF8769" w:rsidR="0090126D" w:rsidRDefault="00ED3C1E" w:rsidP="00585E65">
      <w:r>
        <w:t>The review has asked for evidence of specific</w:t>
      </w:r>
      <w:r w:rsidR="000049EA">
        <w:t xml:space="preserve"> workplace</w:t>
      </w:r>
      <w:r>
        <w:t xml:space="preserve"> </w:t>
      </w:r>
      <w:r w:rsidR="000049EA">
        <w:t xml:space="preserve">health </w:t>
      </w:r>
      <w:r>
        <w:t>interventions</w:t>
      </w:r>
      <w:r w:rsidR="00FA7B43">
        <w:t>, backed by impact evidence,</w:t>
      </w:r>
      <w:r>
        <w:t xml:space="preserve"> that have </w:t>
      </w:r>
      <w:r w:rsidR="000049EA">
        <w:t xml:space="preserve">helped people stay in work. </w:t>
      </w:r>
      <w:r w:rsidR="00171068">
        <w:t xml:space="preserve">The review will bring forward recommendations in the autumn. We will hold a reps’ webinar on </w:t>
      </w:r>
      <w:r w:rsidR="00872D82">
        <w:t>the</w:t>
      </w:r>
      <w:r w:rsidR="00171068">
        <w:t xml:space="preserve"> review when </w:t>
      </w:r>
      <w:r w:rsidR="00872D82">
        <w:t xml:space="preserve">the final report and recommendations have been it has been published. </w:t>
      </w:r>
    </w:p>
    <w:p w14:paraId="5BCB464E" w14:textId="77777777" w:rsidR="005E4CA4" w:rsidRPr="005E4CA4" w:rsidRDefault="00572415" w:rsidP="00585E65">
      <w:pPr>
        <w:rPr>
          <w:b/>
          <w:bCs/>
        </w:rPr>
      </w:pPr>
      <w:r w:rsidRPr="005E4CA4">
        <w:rPr>
          <w:b/>
          <w:bCs/>
        </w:rPr>
        <w:t>Regulators and</w:t>
      </w:r>
      <w:r w:rsidR="005E4CA4" w:rsidRPr="005E4CA4">
        <w:rPr>
          <w:b/>
          <w:bCs/>
        </w:rPr>
        <w:t xml:space="preserve"> growth policy paper</w:t>
      </w:r>
    </w:p>
    <w:p w14:paraId="4DE4E881" w14:textId="475EEC95" w:rsidR="00EB0836" w:rsidRDefault="005E4CA4" w:rsidP="000B5846">
      <w:pPr>
        <w:numPr>
          <w:ilvl w:val="0"/>
          <w:numId w:val="1"/>
        </w:numPr>
      </w:pPr>
      <w:r>
        <w:t xml:space="preserve">In March, the </w:t>
      </w:r>
      <w:r w:rsidR="0048217E">
        <w:t>Treasury</w:t>
      </w:r>
      <w:r>
        <w:t xml:space="preserve"> published a </w:t>
      </w:r>
      <w:r w:rsidR="001C7D5F">
        <w:t>policy paper titled</w:t>
      </w:r>
      <w:r w:rsidR="001C7D5F" w:rsidRPr="00066F3E">
        <w:rPr>
          <w:i/>
          <w:iCs/>
        </w:rPr>
        <w:t xml:space="preserve"> </w:t>
      </w:r>
      <w:hyperlink r:id="rId9" w:history="1">
        <w:r w:rsidR="001C7D5F" w:rsidRPr="00B17F66">
          <w:rPr>
            <w:rStyle w:val="Hyperlink"/>
            <w:i/>
            <w:iCs/>
          </w:rPr>
          <w:t>New approach to ensure regulators and regulation support growth</w:t>
        </w:r>
      </w:hyperlink>
      <w:r w:rsidR="001C7D5F" w:rsidRPr="00066F3E">
        <w:rPr>
          <w:i/>
          <w:iCs/>
        </w:rPr>
        <w:t xml:space="preserve">. </w:t>
      </w:r>
      <w:r w:rsidR="00D45D04" w:rsidRPr="00D45D04">
        <w:t>I</w:t>
      </w:r>
      <w:r w:rsidR="0048217E" w:rsidRPr="00D45D04">
        <w:t xml:space="preserve">t </w:t>
      </w:r>
      <w:r w:rsidR="00F3075A">
        <w:t xml:space="preserve">says that while </w:t>
      </w:r>
      <w:r w:rsidR="00AE5C3D">
        <w:t xml:space="preserve">regulation protects people from risks, and can promote growth and investment, </w:t>
      </w:r>
      <w:r w:rsidR="00AE5C3D" w:rsidRPr="00AE5C3D">
        <w:t xml:space="preserve">the current regulatory landscape </w:t>
      </w:r>
      <w:r w:rsidR="00AE5C3D">
        <w:t>“</w:t>
      </w:r>
      <w:r w:rsidR="00AE5C3D" w:rsidRPr="00AE5C3D">
        <w:t>is not functioning as effectively as it should</w:t>
      </w:r>
      <w:r w:rsidR="00AE5C3D">
        <w:t>” and that “o</w:t>
      </w:r>
      <w:r w:rsidR="00AE5C3D" w:rsidRPr="00AE5C3D">
        <w:t>ur system now too often holds back growth and inhibits private sector investment</w:t>
      </w:r>
      <w:r w:rsidR="00AE5C3D">
        <w:t>”</w:t>
      </w:r>
      <w:r w:rsidR="00AE5C3D" w:rsidRPr="00AE5C3D">
        <w:t>.</w:t>
      </w:r>
      <w:r w:rsidR="00066F3E">
        <w:t xml:space="preserve"> The paper contains an action plan to overhaul the regulatory system so that it </w:t>
      </w:r>
      <w:r w:rsidR="0031516F">
        <w:t xml:space="preserve">supports growth, is targeted and proportionate, transparent and predictable, and keeps pace with innovation. </w:t>
      </w:r>
    </w:p>
    <w:p w14:paraId="388CB20F" w14:textId="7D5900F0" w:rsidR="007E7724" w:rsidRDefault="00EB0836" w:rsidP="000B5846">
      <w:pPr>
        <w:numPr>
          <w:ilvl w:val="0"/>
          <w:numId w:val="1"/>
        </w:numPr>
      </w:pPr>
      <w:r>
        <w:t>The plans cover a range of regulatory areas and regulators. In relation to health and safety regulation,</w:t>
      </w:r>
      <w:r w:rsidR="007E7724">
        <w:t xml:space="preserve"> the review </w:t>
      </w:r>
      <w:r w:rsidR="00772426">
        <w:t>commits to</w:t>
      </w:r>
    </w:p>
    <w:p w14:paraId="5AFBC51B" w14:textId="7E914893" w:rsidR="007E7724" w:rsidRPr="007E7724" w:rsidRDefault="007E7724" w:rsidP="00772426">
      <w:pPr>
        <w:pStyle w:val="ListParagraph"/>
        <w:numPr>
          <w:ilvl w:val="0"/>
          <w:numId w:val="16"/>
        </w:numPr>
      </w:pPr>
      <w:r w:rsidRPr="007E7724">
        <w:t>HSE and DEFRA consulting on how international approvals can be recognised to reduce the time and cost to bring chemical products, including biocides, to the GB market.</w:t>
      </w:r>
      <w:r w:rsidR="009D2D3D">
        <w:t xml:space="preserve"> (</w:t>
      </w:r>
      <w:hyperlink r:id="rId10" w:history="1">
        <w:r w:rsidR="009D2D3D" w:rsidRPr="00B17F66">
          <w:rPr>
            <w:rStyle w:val="Hyperlink"/>
          </w:rPr>
          <w:t xml:space="preserve">This </w:t>
        </w:r>
        <w:r w:rsidR="00B53EEE">
          <w:rPr>
            <w:rStyle w:val="Hyperlink"/>
          </w:rPr>
          <w:t xml:space="preserve">consultation </w:t>
        </w:r>
        <w:r w:rsidR="009D2D3D" w:rsidRPr="00B17F66">
          <w:rPr>
            <w:rStyle w:val="Hyperlink"/>
          </w:rPr>
          <w:t>has since been launched</w:t>
        </w:r>
      </w:hyperlink>
      <w:r w:rsidR="009D2D3D">
        <w:t xml:space="preserve">. Prospect is currently considering whether to </w:t>
      </w:r>
      <w:r w:rsidR="009D2D3D">
        <w:lastRenderedPageBreak/>
        <w:t>respond.</w:t>
      </w:r>
      <w:r w:rsidR="008F59F2">
        <w:t xml:space="preserve"> Clearly, there is </w:t>
      </w:r>
      <w:r w:rsidR="00B53EEE">
        <w:t xml:space="preserve">a question over which countries’ regulatory approvals </w:t>
      </w:r>
      <w:r w:rsidR="002538C8">
        <w:t xml:space="preserve">can or should </w:t>
      </w:r>
      <w:r w:rsidR="00B53EEE">
        <w:t>be trusted</w:t>
      </w:r>
      <w:r w:rsidR="002538C8">
        <w:t>.</w:t>
      </w:r>
      <w:r w:rsidR="009D2D3D">
        <w:t>)</w:t>
      </w:r>
    </w:p>
    <w:p w14:paraId="3E628499" w14:textId="3B28A9ED" w:rsidR="007E7724" w:rsidRPr="007E7724" w:rsidRDefault="007E7724" w:rsidP="00772426">
      <w:pPr>
        <w:pStyle w:val="ListParagraph"/>
        <w:numPr>
          <w:ilvl w:val="0"/>
          <w:numId w:val="16"/>
        </w:numPr>
      </w:pPr>
      <w:r w:rsidRPr="007E7724">
        <w:t xml:space="preserve">Consult on changes to the definitions, occupational diseases and dangerous occurrences reported under the Reporting </w:t>
      </w:r>
      <w:proofErr w:type="gramStart"/>
      <w:r w:rsidRPr="007E7724">
        <w:t>Of</w:t>
      </w:r>
      <w:proofErr w:type="gramEnd"/>
      <w:r w:rsidRPr="007E7724">
        <w:t xml:space="preserve"> Injuries, Diseases and Dangerous Occurrence Regulations 2013 and consider </w:t>
      </w:r>
      <w:r w:rsidR="0010450E">
        <w:t>“</w:t>
      </w:r>
      <w:r w:rsidRPr="007E7724">
        <w:t>improvements to the reporting process to ensure business can comply in the most efficient way possible</w:t>
      </w:r>
      <w:r w:rsidR="0010450E">
        <w:t>”</w:t>
      </w:r>
      <w:r w:rsidRPr="007E7724">
        <w:t>.</w:t>
      </w:r>
      <w:r w:rsidR="00344B99">
        <w:t xml:space="preserve"> (This commitment seems to stem from the </w:t>
      </w:r>
      <w:hyperlink r:id="rId11" w:history="1">
        <w:r w:rsidR="00344B99" w:rsidRPr="001A60E2">
          <w:rPr>
            <w:rStyle w:val="Hyperlink"/>
          </w:rPr>
          <w:t>2023 post implementation review of RIDDOR</w:t>
        </w:r>
      </w:hyperlink>
      <w:r w:rsidR="00344B99">
        <w:t xml:space="preserve">. </w:t>
      </w:r>
      <w:r w:rsidR="00BA3FD9">
        <w:t>T</w:t>
      </w:r>
      <w:r w:rsidR="00BA3FD9" w:rsidRPr="00BA3FD9">
        <w:t>he PIR is not wholly deregulatory. It calls for a review of terminology to make things clearer (and reduce “over-reporting”)</w:t>
      </w:r>
      <w:r w:rsidR="00BA3FD9">
        <w:t>;</w:t>
      </w:r>
      <w:r w:rsidR="00BA3FD9" w:rsidRPr="00BA3FD9">
        <w:t xml:space="preserve"> adding at least three conditions to the list of reportable occ</w:t>
      </w:r>
      <w:r w:rsidR="00BA3FD9">
        <w:t>upational</w:t>
      </w:r>
      <w:r w:rsidR="00BA3FD9" w:rsidRPr="00BA3FD9">
        <w:t xml:space="preserve"> diseases, adding further dangerous occurrences, reviewing guidance and revising the reporting form.</w:t>
      </w:r>
      <w:r w:rsidR="00661530">
        <w:t>)</w:t>
      </w:r>
    </w:p>
    <w:p w14:paraId="6485A996" w14:textId="52B1C736" w:rsidR="007E7724" w:rsidRPr="007E7724" w:rsidRDefault="007E7724" w:rsidP="00772426">
      <w:pPr>
        <w:pStyle w:val="ListParagraph"/>
        <w:numPr>
          <w:ilvl w:val="0"/>
          <w:numId w:val="16"/>
        </w:numPr>
      </w:pPr>
      <w:r w:rsidRPr="007E7724">
        <w:t xml:space="preserve">Review older prescriptive legislation, specifically the Pressure Systems Safety Regulations 2000 and the Lifting Operations and Lifting Equipment Regulations </w:t>
      </w:r>
      <w:proofErr w:type="gramStart"/>
      <w:r w:rsidRPr="007E7724">
        <w:t>1998, and</w:t>
      </w:r>
      <w:proofErr w:type="gramEnd"/>
      <w:r w:rsidRPr="007E7724">
        <w:t xml:space="preserve"> consult to identify and remove </w:t>
      </w:r>
      <w:r w:rsidR="0010450E">
        <w:t>“</w:t>
      </w:r>
      <w:r w:rsidRPr="007E7724">
        <w:t>unnecessary regulatory burdens</w:t>
      </w:r>
      <w:r w:rsidR="0010450E">
        <w:t>”</w:t>
      </w:r>
      <w:r w:rsidRPr="007E7724">
        <w:t xml:space="preserve"> and identify potential changes to this legislation to reflect </w:t>
      </w:r>
      <w:r w:rsidR="0010450E">
        <w:t>“</w:t>
      </w:r>
      <w:r w:rsidRPr="007E7724">
        <w:t>technological advances and reliability of work equipment</w:t>
      </w:r>
      <w:r w:rsidR="0010450E">
        <w:t>”</w:t>
      </w:r>
      <w:r w:rsidRPr="007E7724">
        <w:t>.</w:t>
      </w:r>
    </w:p>
    <w:p w14:paraId="7AFD5743" w14:textId="41ABEBFE" w:rsidR="005E4CA4" w:rsidRDefault="0041496F" w:rsidP="00772426">
      <w:r>
        <w:t xml:space="preserve">Prospect’s </w:t>
      </w:r>
      <w:hyperlink r:id="rId12" w:history="1">
        <w:r w:rsidRPr="00907156">
          <w:rPr>
            <w:rStyle w:val="Hyperlink"/>
          </w:rPr>
          <w:t>initial response to the launch of the paper</w:t>
        </w:r>
      </w:hyperlink>
      <w:r>
        <w:t xml:space="preserve"> was that </w:t>
      </w:r>
      <w:r w:rsidR="001823B0">
        <w:t>while r</w:t>
      </w:r>
      <w:r w:rsidR="001823B0" w:rsidRPr="001823B0">
        <w:t>egulation can always be improved, we cannot lose sight of the primary goals of regulators, be they protection of the environment or ensuring people are safe in their workplace.</w:t>
      </w:r>
      <w:r w:rsidR="001823B0">
        <w:t xml:space="preserve"> </w:t>
      </w:r>
    </w:p>
    <w:p w14:paraId="5E325912" w14:textId="11C9E94E" w:rsidR="005E4CA4" w:rsidRPr="00887FF1" w:rsidRDefault="000F027F" w:rsidP="00585E65">
      <w:pPr>
        <w:rPr>
          <w:b/>
          <w:bCs/>
        </w:rPr>
      </w:pPr>
      <w:r w:rsidRPr="00887FF1">
        <w:rPr>
          <w:b/>
          <w:bCs/>
        </w:rPr>
        <w:t xml:space="preserve">Building Safety Regulator </w:t>
      </w:r>
      <w:r w:rsidR="00887FF1" w:rsidRPr="00887FF1">
        <w:rPr>
          <w:b/>
          <w:bCs/>
        </w:rPr>
        <w:t>reform</w:t>
      </w:r>
    </w:p>
    <w:p w14:paraId="10030474" w14:textId="35DA1262" w:rsidR="00232608" w:rsidRPr="00232608" w:rsidRDefault="000F027F" w:rsidP="00232608">
      <w:r>
        <w:t xml:space="preserve">The government </w:t>
      </w:r>
      <w:hyperlink r:id="rId13" w:history="1">
        <w:r w:rsidRPr="00B8645D">
          <w:rPr>
            <w:rStyle w:val="Hyperlink"/>
          </w:rPr>
          <w:t>has announced</w:t>
        </w:r>
      </w:hyperlink>
      <w:r>
        <w:t xml:space="preserve"> that the Building Safety Regulator will be moved out of the HSE</w:t>
      </w:r>
      <w:r w:rsidR="00565D22">
        <w:t xml:space="preserve"> and become an agency of the </w:t>
      </w:r>
      <w:r w:rsidR="00565D22" w:rsidRPr="00565D22">
        <w:t xml:space="preserve">Ministry of Housing, Communities </w:t>
      </w:r>
      <w:r w:rsidR="00565D22">
        <w:t xml:space="preserve">and </w:t>
      </w:r>
      <w:r w:rsidR="00565D22" w:rsidRPr="00565D22">
        <w:t>Local Government</w:t>
      </w:r>
      <w:r w:rsidR="00565D22">
        <w:t xml:space="preserve">. </w:t>
      </w:r>
      <w:r w:rsidR="00232608">
        <w:t xml:space="preserve">This will </w:t>
      </w:r>
      <w:r w:rsidR="00232608" w:rsidRPr="00232608">
        <w:t>pave the way for the creation of a single construction regulator, as recommended by the Grenfell Tower Inquiry</w:t>
      </w:r>
      <w:r w:rsidR="00232608">
        <w:t xml:space="preserve">. </w:t>
      </w:r>
      <w:hyperlink r:id="rId14" w:history="1">
        <w:r w:rsidR="00B8645D" w:rsidRPr="00887FF1">
          <w:rPr>
            <w:rStyle w:val="Hyperlink"/>
          </w:rPr>
          <w:t>Prospect’s initial response</w:t>
        </w:r>
      </w:hyperlink>
      <w:r w:rsidR="00B8645D">
        <w:t xml:space="preserve"> called for proper investment in staff</w:t>
      </w:r>
      <w:r w:rsidR="00887FF1">
        <w:t xml:space="preserve">. </w:t>
      </w:r>
      <w:r w:rsidR="00B8645D">
        <w:t xml:space="preserve"> </w:t>
      </w:r>
    </w:p>
    <w:p w14:paraId="446A16E3" w14:textId="680633F1" w:rsidR="00022511" w:rsidRPr="00FF7D55" w:rsidRDefault="00232608" w:rsidP="00585E65">
      <w:pPr>
        <w:rPr>
          <w:b/>
          <w:bCs/>
        </w:rPr>
      </w:pPr>
      <w:r>
        <w:t xml:space="preserve"> </w:t>
      </w:r>
      <w:r w:rsidR="00022511" w:rsidRPr="00FF7D55">
        <w:rPr>
          <w:b/>
          <w:bCs/>
        </w:rPr>
        <w:t xml:space="preserve">HSE Prevention summit – utilities working group </w:t>
      </w:r>
      <w:r w:rsidR="00094729" w:rsidRPr="00FF7D55">
        <w:rPr>
          <w:b/>
          <w:bCs/>
        </w:rPr>
        <w:t xml:space="preserve">23 June </w:t>
      </w:r>
      <w:r w:rsidR="00FF7D55">
        <w:rPr>
          <w:b/>
          <w:bCs/>
        </w:rPr>
        <w:t>2025</w:t>
      </w:r>
    </w:p>
    <w:p w14:paraId="2BE4A536" w14:textId="32968798" w:rsidR="007A6870" w:rsidRDefault="009951A3" w:rsidP="00585E65">
      <w:r>
        <w:t xml:space="preserve">I continue to attend the </w:t>
      </w:r>
      <w:r w:rsidR="00EF7FFA">
        <w:t xml:space="preserve">utilities industry </w:t>
      </w:r>
      <w:r w:rsidR="00FF7D55">
        <w:t xml:space="preserve">working group that </w:t>
      </w:r>
      <w:r w:rsidR="00AA7FF2">
        <w:t xml:space="preserve">was </w:t>
      </w:r>
      <w:r w:rsidR="00FF7D55">
        <w:t xml:space="preserve">established following </w:t>
      </w:r>
      <w:r w:rsidR="007146AE">
        <w:t xml:space="preserve">the </w:t>
      </w:r>
      <w:r w:rsidR="00EF7FFA">
        <w:t xml:space="preserve">HSE’s Prevention Summit in </w:t>
      </w:r>
      <w:r w:rsidR="009405E8">
        <w:t>November 2024</w:t>
      </w:r>
      <w:r w:rsidR="00AB5B7E">
        <w:t xml:space="preserve">. </w:t>
      </w:r>
      <w:r w:rsidR="007A6870">
        <w:t xml:space="preserve">A key aim of the summit was to get industries to </w:t>
      </w:r>
      <w:r w:rsidR="00F51E18">
        <w:t>identify key he</w:t>
      </w:r>
      <w:r w:rsidR="002F5E11">
        <w:t>alth risk</w:t>
      </w:r>
      <w:r w:rsidR="00AA7FF2">
        <w:t xml:space="preserve">s </w:t>
      </w:r>
      <w:r w:rsidR="002F5E11">
        <w:t xml:space="preserve">and </w:t>
      </w:r>
      <w:r w:rsidR="007A6870">
        <w:t xml:space="preserve">commit to </w:t>
      </w:r>
      <w:r w:rsidR="00D004CA">
        <w:t xml:space="preserve">ongoing </w:t>
      </w:r>
      <w:r w:rsidR="00F51E18">
        <w:t xml:space="preserve">action to tackle </w:t>
      </w:r>
      <w:r w:rsidR="002F5E11">
        <w:t xml:space="preserve">them. The working group was established to </w:t>
      </w:r>
      <w:r w:rsidR="004C368D">
        <w:t>share best practice</w:t>
      </w:r>
      <w:r w:rsidR="00AA7FF2">
        <w:t xml:space="preserve"> and insights across the different parts of the wider industry</w:t>
      </w:r>
      <w:r w:rsidR="004C368D">
        <w:t xml:space="preserve">. </w:t>
      </w:r>
      <w:r w:rsidR="002F5E11">
        <w:t xml:space="preserve"> </w:t>
      </w:r>
    </w:p>
    <w:p w14:paraId="427A4CCF" w14:textId="215C806B" w:rsidR="00B14A56" w:rsidRDefault="00AA7FF2" w:rsidP="00B14A56">
      <w:r>
        <w:t xml:space="preserve">The group </w:t>
      </w:r>
      <w:r w:rsidR="004C368D">
        <w:t>i</w:t>
      </w:r>
      <w:r w:rsidR="00AB5B7E">
        <w:t xml:space="preserve">s attended by employer representatives of </w:t>
      </w:r>
      <w:r w:rsidR="007A6DF4">
        <w:t>various utilities companies and trade associations</w:t>
      </w:r>
      <w:r w:rsidR="00337057">
        <w:t xml:space="preserve"> (</w:t>
      </w:r>
      <w:r w:rsidR="000860CC">
        <w:t>including SSE, the ENA, EDF Energy, Candent Gas, Openreach</w:t>
      </w:r>
      <w:r w:rsidR="00337057">
        <w:t xml:space="preserve">), </w:t>
      </w:r>
      <w:r w:rsidR="00E2118B">
        <w:t>the HSE</w:t>
      </w:r>
      <w:r w:rsidR="00337057">
        <w:t xml:space="preserve">, the GMB and Prospect. </w:t>
      </w:r>
      <w:r w:rsidR="00B14A56">
        <w:t xml:space="preserve">The HSE is keen to understand how trade unions can contribute to the work of the summit. </w:t>
      </w:r>
    </w:p>
    <w:p w14:paraId="58AD3C4B" w14:textId="1931411D" w:rsidR="00C61478" w:rsidRDefault="0001509F" w:rsidP="00585E65">
      <w:r>
        <w:t>Topic</w:t>
      </w:r>
      <w:r w:rsidR="00890B27">
        <w:t>s</w:t>
      </w:r>
      <w:r>
        <w:t xml:space="preserve"> under discussion have so far included manual handling training, </w:t>
      </w:r>
      <w:r w:rsidR="00301AD9">
        <w:t xml:space="preserve">call centre absence benchmarking </w:t>
      </w:r>
      <w:r w:rsidR="00890B27">
        <w:t xml:space="preserve">and hand arm vibration. </w:t>
      </w:r>
      <w:r w:rsidR="005A3766">
        <w:t xml:space="preserve">Concrete outputs have, so far, been limited. They include a </w:t>
      </w:r>
      <w:hyperlink r:id="rId15" w:history="1">
        <w:r w:rsidR="004F296A" w:rsidRPr="004F296A">
          <w:rPr>
            <w:rStyle w:val="Hyperlink"/>
          </w:rPr>
          <w:t xml:space="preserve">short </w:t>
        </w:r>
        <w:r w:rsidR="005A3766" w:rsidRPr="004F296A">
          <w:rPr>
            <w:rStyle w:val="Hyperlink"/>
          </w:rPr>
          <w:t xml:space="preserve">video on </w:t>
        </w:r>
        <w:r w:rsidR="004F296A" w:rsidRPr="004F296A">
          <w:rPr>
            <w:rStyle w:val="Hyperlink"/>
          </w:rPr>
          <w:t>HAVS</w:t>
        </w:r>
      </w:hyperlink>
      <w:r w:rsidR="002B1B81">
        <w:t xml:space="preserve"> and an employer occupational health </w:t>
      </w:r>
      <w:proofErr w:type="spellStart"/>
      <w:r w:rsidR="002B1B81">
        <w:t>self assessment</w:t>
      </w:r>
      <w:proofErr w:type="spellEnd"/>
      <w:r w:rsidR="002B1B81">
        <w:t xml:space="preserve">. </w:t>
      </w:r>
    </w:p>
    <w:p w14:paraId="074AD352" w14:textId="08DD149B" w:rsidR="009951A3" w:rsidRDefault="00AD1FB1" w:rsidP="00585E65">
      <w:r>
        <w:t xml:space="preserve">The group has met four times since the summit. </w:t>
      </w:r>
      <w:r w:rsidR="00CA4884">
        <w:t>At the most recent meeting</w:t>
      </w:r>
      <w:r>
        <w:t xml:space="preserve"> in June</w:t>
      </w:r>
      <w:r w:rsidR="00CA4884">
        <w:t>, there was discuss</w:t>
      </w:r>
      <w:r w:rsidR="00A371DE">
        <w:t xml:space="preserve">ion </w:t>
      </w:r>
      <w:r w:rsidR="00CA4884">
        <w:t xml:space="preserve">of </w:t>
      </w:r>
      <w:r w:rsidR="00C64DE9">
        <w:t>plan</w:t>
      </w:r>
      <w:r w:rsidR="00B14A56">
        <w:t>s</w:t>
      </w:r>
      <w:r w:rsidR="00C64DE9">
        <w:t xml:space="preserve"> to hold a “mini summit” – essentially a</w:t>
      </w:r>
      <w:r w:rsidR="0037482D">
        <w:t xml:space="preserve">n event to reflect on progress and provide momentum – </w:t>
      </w:r>
      <w:r w:rsidR="00701A78">
        <w:t xml:space="preserve">on 8 October in Edinburgh. The trade unions will be given an opportunity to deliver </w:t>
      </w:r>
      <w:r w:rsidR="00DD488A">
        <w:t xml:space="preserve">a </w:t>
      </w:r>
      <w:r w:rsidR="000E28EC">
        <w:t>presentation</w:t>
      </w:r>
      <w:r w:rsidR="00B14A56">
        <w:t xml:space="preserve"> at the event. </w:t>
      </w:r>
      <w:r w:rsidR="00A371DE">
        <w:t xml:space="preserve">We also heard from Openreach on a company they had used to deliver manual handling training. </w:t>
      </w:r>
    </w:p>
    <w:p w14:paraId="50681064" w14:textId="049214D2" w:rsidR="00094729" w:rsidRPr="00FB50CB" w:rsidRDefault="00094729" w:rsidP="00585E65">
      <w:pPr>
        <w:rPr>
          <w:b/>
          <w:bCs/>
        </w:rPr>
      </w:pPr>
      <w:r w:rsidRPr="00FB50CB">
        <w:rPr>
          <w:b/>
          <w:bCs/>
        </w:rPr>
        <w:t>E</w:t>
      </w:r>
      <w:r w:rsidR="00324341">
        <w:rPr>
          <w:b/>
          <w:bCs/>
        </w:rPr>
        <w:t>nergy Networks Association</w:t>
      </w:r>
      <w:r w:rsidRPr="00FB50CB">
        <w:rPr>
          <w:b/>
          <w:bCs/>
        </w:rPr>
        <w:t xml:space="preserve"> SHE </w:t>
      </w:r>
      <w:r w:rsidR="00324341">
        <w:rPr>
          <w:b/>
          <w:bCs/>
        </w:rPr>
        <w:t xml:space="preserve">Management </w:t>
      </w:r>
      <w:r w:rsidRPr="00FB50CB">
        <w:rPr>
          <w:b/>
          <w:bCs/>
        </w:rPr>
        <w:t xml:space="preserve">conference </w:t>
      </w:r>
      <w:r w:rsidR="009425D3">
        <w:rPr>
          <w:b/>
          <w:bCs/>
        </w:rPr>
        <w:t>5 June 2025</w:t>
      </w:r>
    </w:p>
    <w:p w14:paraId="3B91DD4A" w14:textId="0C3EACE3" w:rsidR="00E75370" w:rsidRDefault="00FB50CB" w:rsidP="00E75370">
      <w:r>
        <w:t xml:space="preserve">I attended the </w:t>
      </w:r>
      <w:r w:rsidR="00963EAF">
        <w:t xml:space="preserve">ENA’s </w:t>
      </w:r>
      <w:r w:rsidR="00593211">
        <w:t>annual safety, health and environ</w:t>
      </w:r>
      <w:r w:rsidR="00963EAF">
        <w:t xml:space="preserve">ment conference in Manchester. </w:t>
      </w:r>
      <w:r w:rsidR="00E75370" w:rsidRPr="00E75370">
        <w:t>Mike</w:t>
      </w:r>
      <w:r w:rsidR="006F2181" w:rsidRPr="001B373A">
        <w:t xml:space="preserve"> Clancy delivered a talk during the opening session, which was on health and safety strategy</w:t>
      </w:r>
      <w:r w:rsidR="001B373A" w:rsidRPr="001B373A">
        <w:t>.</w:t>
      </w:r>
      <w:r w:rsidR="001B373A">
        <w:rPr>
          <w:b/>
          <w:bCs/>
        </w:rPr>
        <w:t xml:space="preserve"> </w:t>
      </w:r>
      <w:r w:rsidR="001B373A" w:rsidRPr="001B373A">
        <w:t xml:space="preserve">Mike </w:t>
      </w:r>
      <w:r w:rsidR="00E75370" w:rsidRPr="00E75370">
        <w:t xml:space="preserve">gave </w:t>
      </w:r>
      <w:r w:rsidR="001B373A" w:rsidRPr="001B373A">
        <w:t xml:space="preserve">a </w:t>
      </w:r>
      <w:r w:rsidR="00E75370" w:rsidRPr="00E75370">
        <w:t xml:space="preserve">clear message that while industry is great place to work, people face mounting workloads and </w:t>
      </w:r>
      <w:r w:rsidR="001B373A" w:rsidRPr="001B373A">
        <w:t>cynicism</w:t>
      </w:r>
      <w:r w:rsidR="00E75370" w:rsidRPr="00E75370">
        <w:t xml:space="preserve"> is </w:t>
      </w:r>
      <w:r w:rsidR="00AC2645">
        <w:t>creeping</w:t>
      </w:r>
      <w:r w:rsidR="00E75370" w:rsidRPr="00E75370">
        <w:t xml:space="preserve"> in.</w:t>
      </w:r>
    </w:p>
    <w:p w14:paraId="5494A9B7" w14:textId="3050A12C" w:rsidR="00F6390D" w:rsidRPr="00E75370" w:rsidRDefault="00F6390D" w:rsidP="00E67509">
      <w:pPr>
        <w:rPr>
          <w:b/>
          <w:bCs/>
        </w:rPr>
      </w:pPr>
      <w:r>
        <w:t xml:space="preserve">Other </w:t>
      </w:r>
      <w:r w:rsidR="009E2A1C">
        <w:t>session</w:t>
      </w:r>
      <w:r w:rsidR="00B53EB6">
        <w:t xml:space="preserve"> theme</w:t>
      </w:r>
      <w:r w:rsidR="009E2A1C">
        <w:t>s included</w:t>
      </w:r>
      <w:r w:rsidR="00B53EB6">
        <w:t xml:space="preserve"> occupational health</w:t>
      </w:r>
      <w:r w:rsidR="00134120">
        <w:t xml:space="preserve"> (speakers included </w:t>
      </w:r>
      <w:r w:rsidR="004A4CD9">
        <w:t xml:space="preserve">Martie van Tongeren, Professor of Occupational &amp; Environmental Health, </w:t>
      </w:r>
      <w:r w:rsidR="00DB1807">
        <w:t>t</w:t>
      </w:r>
      <w:r w:rsidR="004A4CD9">
        <w:t>he University of Manchester)</w:t>
      </w:r>
      <w:r w:rsidR="00B53EB6">
        <w:t>, environment and sustainability</w:t>
      </w:r>
      <w:r w:rsidR="00005EA7">
        <w:t xml:space="preserve"> (Martin Baxter</w:t>
      </w:r>
      <w:r w:rsidR="00955A04">
        <w:t xml:space="preserve">, </w:t>
      </w:r>
      <w:r w:rsidR="00E67509">
        <w:t>d</w:t>
      </w:r>
      <w:r w:rsidR="00005EA7">
        <w:t>eputy CEO, Institute of</w:t>
      </w:r>
      <w:r w:rsidR="00955A04">
        <w:t xml:space="preserve"> </w:t>
      </w:r>
      <w:r w:rsidR="00005EA7">
        <w:t>Environmental Management</w:t>
      </w:r>
      <w:r w:rsidR="00955A04">
        <w:t xml:space="preserve"> </w:t>
      </w:r>
      <w:r w:rsidR="00005EA7">
        <w:t>and Assessment)</w:t>
      </w:r>
      <w:r w:rsidR="00B53EB6">
        <w:t xml:space="preserve">, and </w:t>
      </w:r>
      <w:r w:rsidR="00BB6BE5">
        <w:t>s</w:t>
      </w:r>
      <w:r w:rsidR="00BB6BE5" w:rsidRPr="00BB6BE5">
        <w:t xml:space="preserve">afety &amp; </w:t>
      </w:r>
      <w:r w:rsidR="00BB6BE5">
        <w:t>f</w:t>
      </w:r>
      <w:r w:rsidR="00BB6BE5" w:rsidRPr="00BB6BE5">
        <w:t xml:space="preserve">uture </w:t>
      </w:r>
      <w:r w:rsidR="00BB6BE5">
        <w:t>n</w:t>
      </w:r>
      <w:r w:rsidR="00BB6BE5" w:rsidRPr="00BB6BE5">
        <w:t>etworks</w:t>
      </w:r>
      <w:r w:rsidR="00955A04">
        <w:t xml:space="preserve"> </w:t>
      </w:r>
      <w:r w:rsidR="00E67509">
        <w:t xml:space="preserve">(Dr Paul Redmond, </w:t>
      </w:r>
      <w:r w:rsidR="00DB1807">
        <w:t xml:space="preserve">an expert </w:t>
      </w:r>
      <w:r w:rsidR="00364DFF">
        <w:t xml:space="preserve">on </w:t>
      </w:r>
      <w:r w:rsidR="00364DFF" w:rsidRPr="00364DFF">
        <w:t>generations and the future of work</w:t>
      </w:r>
      <w:r w:rsidR="00E67509">
        <w:t xml:space="preserve">). While some of the speakers were good, much of the content was generic and </w:t>
      </w:r>
      <w:r w:rsidR="00F22891">
        <w:t xml:space="preserve">had little specific relationship to the electricity industry. </w:t>
      </w:r>
    </w:p>
    <w:p w14:paraId="60A72123" w14:textId="77777777" w:rsidR="00F22891" w:rsidRPr="00963EAF" w:rsidRDefault="00F22891" w:rsidP="00F22891">
      <w:pPr>
        <w:rPr>
          <w:b/>
          <w:bCs/>
        </w:rPr>
      </w:pPr>
      <w:r w:rsidRPr="00963EAF">
        <w:rPr>
          <w:b/>
          <w:bCs/>
        </w:rPr>
        <w:lastRenderedPageBreak/>
        <w:t>Powering Improvement</w:t>
      </w:r>
      <w:r>
        <w:rPr>
          <w:b/>
          <w:bCs/>
        </w:rPr>
        <w:t xml:space="preserve"> lone working </w:t>
      </w:r>
      <w:r w:rsidRPr="00963EAF">
        <w:rPr>
          <w:b/>
          <w:bCs/>
        </w:rPr>
        <w:t xml:space="preserve">materials launch </w:t>
      </w:r>
    </w:p>
    <w:p w14:paraId="2DB49DC8" w14:textId="77777777" w:rsidR="00B03F3B" w:rsidRDefault="00F22891" w:rsidP="00585E65">
      <w:r w:rsidRPr="000F4958">
        <w:t xml:space="preserve">The </w:t>
      </w:r>
      <w:r w:rsidR="000F4958" w:rsidRPr="000F4958">
        <w:t>late</w:t>
      </w:r>
      <w:r w:rsidR="000F4958">
        <w:t>st</w:t>
      </w:r>
      <w:r w:rsidRPr="000F4958">
        <w:t xml:space="preserve"> jointly produced resources </w:t>
      </w:r>
      <w:r w:rsidR="000F4958" w:rsidRPr="000F4958">
        <w:t xml:space="preserve">from the Powering Improvement strategy </w:t>
      </w:r>
      <w:r w:rsidR="000F4958">
        <w:t xml:space="preserve">were launched at the </w:t>
      </w:r>
      <w:r w:rsidR="004D48AD">
        <w:t xml:space="preserve">ENA’s SHE Management conference. </w:t>
      </w:r>
      <w:r w:rsidR="00B3021D">
        <w:t xml:space="preserve">Two outputs were produced: </w:t>
      </w:r>
    </w:p>
    <w:p w14:paraId="4F74D2FE" w14:textId="76DB7817" w:rsidR="00B03F3B" w:rsidRDefault="00B03F3B" w:rsidP="00B03F3B">
      <w:pPr>
        <w:pStyle w:val="ListParagraph"/>
        <w:numPr>
          <w:ilvl w:val="0"/>
          <w:numId w:val="11"/>
        </w:numPr>
      </w:pPr>
      <w:r>
        <w:t xml:space="preserve">A </w:t>
      </w:r>
      <w:r w:rsidRPr="00B03F3B">
        <w:t xml:space="preserve">good practice guidance e-booklet, aimed at </w:t>
      </w:r>
      <w:r>
        <w:t>mangers w</w:t>
      </w:r>
      <w:r w:rsidRPr="00B03F3B">
        <w:t>ithin the electricity networks industry</w:t>
      </w:r>
      <w:r w:rsidR="00B77724">
        <w:t xml:space="preserve"> </w:t>
      </w:r>
      <w:r w:rsidRPr="00B03F3B">
        <w:t>who manage or oversee individuals working alone or remote</w:t>
      </w:r>
      <w:r w:rsidR="00FD6F2C">
        <w:t>ly</w:t>
      </w:r>
      <w:r>
        <w:t xml:space="preserve"> </w:t>
      </w:r>
      <w:hyperlink r:id="rId16" w:history="1">
        <w:r w:rsidR="005C52A9" w:rsidRPr="00D77978">
          <w:rPr>
            <w:rStyle w:val="Hyperlink"/>
          </w:rPr>
          <w:t>https://indd.adobe.com/view/11565f94-2b68-4135-90e5-64fc2ec063e5</w:t>
        </w:r>
      </w:hyperlink>
      <w:r w:rsidR="005C52A9">
        <w:t xml:space="preserve"> </w:t>
      </w:r>
    </w:p>
    <w:p w14:paraId="1973FC68" w14:textId="6CC05A5B" w:rsidR="00B03F3B" w:rsidRDefault="00B03F3B" w:rsidP="00B03F3B">
      <w:pPr>
        <w:pStyle w:val="ListParagraph"/>
        <w:numPr>
          <w:ilvl w:val="0"/>
          <w:numId w:val="11"/>
        </w:numPr>
      </w:pPr>
      <w:r w:rsidRPr="00B03F3B">
        <w:t>An animated video which provid</w:t>
      </w:r>
      <w:r w:rsidR="00FD6F2C">
        <w:t xml:space="preserve">es </w:t>
      </w:r>
      <w:r w:rsidRPr="00B03F3B">
        <w:t>guidance to lone workers themselves</w:t>
      </w:r>
      <w:r w:rsidR="00B77724">
        <w:t xml:space="preserve"> </w:t>
      </w:r>
      <w:hyperlink r:id="rId17" w:history="1">
        <w:r w:rsidR="00B77724" w:rsidRPr="00D77978">
          <w:rPr>
            <w:rStyle w:val="Hyperlink"/>
          </w:rPr>
          <w:t>https://vimeo.com/1087713652/b9155aab6f?ts=0&amp;share=copy</w:t>
        </w:r>
      </w:hyperlink>
      <w:r w:rsidR="00B77724">
        <w:t xml:space="preserve"> </w:t>
      </w:r>
    </w:p>
    <w:p w14:paraId="3EB522F1" w14:textId="0524013D" w:rsidR="001B41A9" w:rsidRPr="000F4958" w:rsidRDefault="001B41A9" w:rsidP="001B41A9">
      <w:r>
        <w:t xml:space="preserve">The ENA will encourage employers to use the resources, and we will distribute them to reps in the energy sector. </w:t>
      </w:r>
    </w:p>
    <w:p w14:paraId="7967EF4A" w14:textId="0A474FA9" w:rsidR="00CF3B1A" w:rsidRDefault="00C7752B" w:rsidP="00585E65">
      <w:pPr>
        <w:rPr>
          <w:b/>
          <w:bCs/>
        </w:rPr>
      </w:pPr>
      <w:r>
        <w:rPr>
          <w:b/>
          <w:bCs/>
        </w:rPr>
        <w:t xml:space="preserve">Diesel </w:t>
      </w:r>
      <w:r w:rsidR="00D076AC">
        <w:rPr>
          <w:b/>
          <w:bCs/>
        </w:rPr>
        <w:t xml:space="preserve">engine exhaust </w:t>
      </w:r>
    </w:p>
    <w:p w14:paraId="437205DC" w14:textId="4DEEE1A6" w:rsidR="00D076AC" w:rsidRPr="00D076AC" w:rsidRDefault="00D076AC" w:rsidP="00585E65">
      <w:r>
        <w:t xml:space="preserve">Following questions from a </w:t>
      </w:r>
      <w:r w:rsidR="005F3F2D">
        <w:t xml:space="preserve">couple of branches in the </w:t>
      </w:r>
      <w:proofErr w:type="spellStart"/>
      <w:r w:rsidR="005F3F2D">
        <w:t>Bectu</w:t>
      </w:r>
      <w:proofErr w:type="spellEnd"/>
      <w:r w:rsidR="005F3F2D">
        <w:t xml:space="preserve"> sector, we are working on the development of a briefing </w:t>
      </w:r>
      <w:r w:rsidR="00415546">
        <w:t xml:space="preserve">for reps across the union </w:t>
      </w:r>
      <w:r w:rsidR="005F3F2D">
        <w:t xml:space="preserve">on addressing exposure to diesel engine exhaust emissions, a known carcinogen. </w:t>
      </w:r>
      <w:r w:rsidR="00415546">
        <w:t>It is likely this will be released later in t</w:t>
      </w:r>
      <w:r w:rsidR="00B525E4">
        <w:t xml:space="preserve">he autumn. </w:t>
      </w:r>
    </w:p>
    <w:p w14:paraId="14FC0390" w14:textId="0624C8CA" w:rsidR="00AD4EC6" w:rsidRDefault="00AD4EC6" w:rsidP="00585E65">
      <w:pPr>
        <w:rPr>
          <w:b/>
          <w:bCs/>
        </w:rPr>
      </w:pPr>
    </w:p>
    <w:p w14:paraId="581609E3" w14:textId="3E6A13DF" w:rsidR="000F5CB7" w:rsidRDefault="000F5CB7" w:rsidP="000F5CB7">
      <w:r>
        <w:t>Chris Warburton</w:t>
      </w:r>
    </w:p>
    <w:p w14:paraId="5689A5B2" w14:textId="1EC04B4F" w:rsidR="000F5CB7" w:rsidRPr="000F5CB7" w:rsidRDefault="000F5CB7" w:rsidP="000F5CB7">
      <w:r>
        <w:t>Health and safety research officer</w:t>
      </w:r>
    </w:p>
    <w:p w14:paraId="188330CA" w14:textId="77777777" w:rsidR="000F5CB7" w:rsidRDefault="000F5CB7" w:rsidP="000F5CB7">
      <w:pPr>
        <w:rPr>
          <w:b/>
          <w:bCs/>
        </w:rPr>
      </w:pPr>
    </w:p>
    <w:p w14:paraId="47604B2F" w14:textId="54312736" w:rsidR="000F5CB7" w:rsidRPr="000F5CB7" w:rsidRDefault="000F5CB7" w:rsidP="000F5CB7">
      <w:pPr>
        <w:tabs>
          <w:tab w:val="left" w:pos="3060"/>
        </w:tabs>
      </w:pPr>
      <w:r>
        <w:tab/>
      </w:r>
    </w:p>
    <w:sectPr w:rsidR="000F5CB7" w:rsidRPr="000F5CB7" w:rsidSect="005C7169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85E1" w14:textId="77777777" w:rsidR="0062509B" w:rsidRDefault="0062509B">
      <w:r>
        <w:separator/>
      </w:r>
    </w:p>
  </w:endnote>
  <w:endnote w:type="continuationSeparator" w:id="0">
    <w:p w14:paraId="6F965469" w14:textId="77777777" w:rsidR="0062509B" w:rsidRDefault="0062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FCBC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03F920F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B778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25231E15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743371" w:rsidRPr="00CB5A86" w14:paraId="506CD5D7" w14:textId="77777777" w:rsidTr="00365A9C">
      <w:tc>
        <w:tcPr>
          <w:tcW w:w="4244" w:type="dxa"/>
          <w:shd w:val="clear" w:color="auto" w:fill="auto"/>
          <w:noWrap/>
          <w:vAlign w:val="bottom"/>
        </w:tcPr>
        <w:p w14:paraId="09555F2B" w14:textId="77777777" w:rsidR="00743371" w:rsidRDefault="00743371" w:rsidP="00743371">
          <w:pPr>
            <w:pStyle w:val="Prospectaddress"/>
          </w:pPr>
          <w:r>
            <w:t>Prospect</w:t>
          </w:r>
        </w:p>
        <w:p w14:paraId="2B30A0E8" w14:textId="77777777" w:rsidR="00743371" w:rsidRPr="009E6FEE" w:rsidRDefault="00743371" w:rsidP="00743371">
          <w:pPr>
            <w:pStyle w:val="Prospectaddress"/>
          </w:pPr>
          <w:r>
            <w:t>100 Rochester Row</w:t>
          </w:r>
        </w:p>
        <w:p w14:paraId="0399A52C" w14:textId="77777777" w:rsidR="00743371" w:rsidRPr="00CB5A86" w:rsidRDefault="00743371" w:rsidP="00743371">
          <w:pPr>
            <w:pStyle w:val="Prospectaddress"/>
          </w:pPr>
          <w:r w:rsidRPr="00CB5A86">
            <w:t>London</w:t>
          </w:r>
        </w:p>
        <w:p w14:paraId="38624800" w14:textId="77777777" w:rsidR="00743371" w:rsidRPr="00CB5A86" w:rsidRDefault="00743371" w:rsidP="00743371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2D70F8A0" w14:textId="77777777" w:rsidR="00743371" w:rsidRPr="00CB5A86" w:rsidRDefault="00743371" w:rsidP="00743371">
          <w:pPr>
            <w:pStyle w:val="Prospectaddress"/>
          </w:pPr>
          <w:r w:rsidRPr="00CB5A86">
            <w:t>0300 600 1878</w:t>
          </w:r>
        </w:p>
        <w:p w14:paraId="61FED6AF" w14:textId="77777777" w:rsidR="00743371" w:rsidRPr="00CB5A86" w:rsidRDefault="00743371" w:rsidP="00743371">
          <w:pPr>
            <w:pStyle w:val="Prospectaddress"/>
          </w:pPr>
          <w:r w:rsidRPr="00F660E2">
            <w:t>info@prospect.org.uk</w:t>
          </w:r>
        </w:p>
        <w:p w14:paraId="087ED922" w14:textId="77777777" w:rsidR="00743371" w:rsidRPr="00CB5A86" w:rsidRDefault="00743371" w:rsidP="00743371">
          <w:pPr>
            <w:pStyle w:val="Prospectaddress"/>
          </w:pPr>
        </w:p>
        <w:p w14:paraId="055CB3DD" w14:textId="77777777" w:rsidR="00743371" w:rsidRPr="00CB5A86" w:rsidRDefault="00743371" w:rsidP="00743371">
          <w:pPr>
            <w:pStyle w:val="Prospectaddress"/>
          </w:pPr>
          <w:r w:rsidRPr="00CB5A86">
            <w:t>prospect.org.uk</w:t>
          </w:r>
        </w:p>
      </w:tc>
    </w:tr>
  </w:tbl>
  <w:p w14:paraId="7A54678D" w14:textId="77777777" w:rsidR="00743371" w:rsidRPr="00193849" w:rsidRDefault="00743371" w:rsidP="00743371">
    <w:pPr>
      <w:pStyle w:val="Footer"/>
      <w:spacing w:afterLines="60" w:after="144"/>
      <w:rPr>
        <w:sz w:val="17"/>
      </w:rPr>
    </w:pPr>
  </w:p>
  <w:p w14:paraId="06947B93" w14:textId="77777777" w:rsidR="00743371" w:rsidRDefault="00743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5AAD" w14:textId="77777777" w:rsidR="0062509B" w:rsidRDefault="0062509B">
      <w:r>
        <w:separator/>
      </w:r>
    </w:p>
  </w:footnote>
  <w:footnote w:type="continuationSeparator" w:id="0">
    <w:p w14:paraId="3806BBFE" w14:textId="77777777" w:rsidR="0062509B" w:rsidRDefault="0062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5452" w14:textId="77777777" w:rsidR="0043581B" w:rsidRDefault="0043581B" w:rsidP="0043581B">
    <w:r>
      <w:rPr>
        <w:noProof/>
      </w:rPr>
      <w:drawing>
        <wp:anchor distT="0" distB="0" distL="114300" distR="114300" simplePos="0" relativeHeight="251659264" behindDoc="0" locked="0" layoutInCell="1" allowOverlap="1" wp14:anchorId="4FB093B2" wp14:editId="44B4C831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 descr="A green and yellow folded pa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yellow folded pa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1B338" w14:textId="77777777" w:rsidR="0043581B" w:rsidRDefault="0043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F0304"/>
    <w:multiLevelType w:val="hybridMultilevel"/>
    <w:tmpl w:val="BE32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5A5"/>
    <w:multiLevelType w:val="hybridMultilevel"/>
    <w:tmpl w:val="B1D2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7160"/>
    <w:multiLevelType w:val="multilevel"/>
    <w:tmpl w:val="9B66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2F5218ED"/>
    <w:multiLevelType w:val="hybridMultilevel"/>
    <w:tmpl w:val="F73EA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0673B"/>
    <w:multiLevelType w:val="multilevel"/>
    <w:tmpl w:val="4170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EC0096"/>
    <w:multiLevelType w:val="multilevel"/>
    <w:tmpl w:val="351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FD6F25"/>
    <w:multiLevelType w:val="multilevel"/>
    <w:tmpl w:val="69FC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FB6800"/>
    <w:multiLevelType w:val="multilevel"/>
    <w:tmpl w:val="475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4013882">
    <w:abstractNumId w:val="7"/>
  </w:num>
  <w:num w:numId="2" w16cid:durableId="1625966620">
    <w:abstractNumId w:val="1"/>
  </w:num>
  <w:num w:numId="3" w16cid:durableId="1279526733">
    <w:abstractNumId w:val="5"/>
  </w:num>
  <w:num w:numId="4" w16cid:durableId="1442411508">
    <w:abstractNumId w:val="9"/>
  </w:num>
  <w:num w:numId="5" w16cid:durableId="211886179">
    <w:abstractNumId w:val="10"/>
  </w:num>
  <w:num w:numId="6" w16cid:durableId="272634578">
    <w:abstractNumId w:val="8"/>
  </w:num>
  <w:num w:numId="7" w16cid:durableId="1030108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319363">
    <w:abstractNumId w:val="13"/>
  </w:num>
  <w:num w:numId="9" w16cid:durableId="911432618">
    <w:abstractNumId w:val="0"/>
  </w:num>
  <w:num w:numId="10" w16cid:durableId="784420382">
    <w:abstractNumId w:val="12"/>
  </w:num>
  <w:num w:numId="11" w16cid:durableId="1133206962">
    <w:abstractNumId w:val="6"/>
  </w:num>
  <w:num w:numId="12" w16cid:durableId="757677117">
    <w:abstractNumId w:val="3"/>
  </w:num>
  <w:num w:numId="13" w16cid:durableId="1285698576">
    <w:abstractNumId w:val="14"/>
  </w:num>
  <w:num w:numId="14" w16cid:durableId="1152529847">
    <w:abstractNumId w:val="15"/>
  </w:num>
  <w:num w:numId="15" w16cid:durableId="806434351">
    <w:abstractNumId w:val="11"/>
  </w:num>
  <w:num w:numId="16" w16cid:durableId="129398254">
    <w:abstractNumId w:val="2"/>
  </w:num>
  <w:num w:numId="17" w16cid:durableId="6937727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48A3"/>
    <w:rsid w:val="000049EA"/>
    <w:rsid w:val="00005EA7"/>
    <w:rsid w:val="00006ED5"/>
    <w:rsid w:val="000134EA"/>
    <w:rsid w:val="0001509F"/>
    <w:rsid w:val="00022511"/>
    <w:rsid w:val="00025ECB"/>
    <w:rsid w:val="00032DF0"/>
    <w:rsid w:val="0003311C"/>
    <w:rsid w:val="00034577"/>
    <w:rsid w:val="0003583F"/>
    <w:rsid w:val="00064583"/>
    <w:rsid w:val="00066F3E"/>
    <w:rsid w:val="000702B4"/>
    <w:rsid w:val="000860CC"/>
    <w:rsid w:val="00094729"/>
    <w:rsid w:val="000A35F7"/>
    <w:rsid w:val="000A736E"/>
    <w:rsid w:val="000D2062"/>
    <w:rsid w:val="000E28EC"/>
    <w:rsid w:val="000E3910"/>
    <w:rsid w:val="000E6A60"/>
    <w:rsid w:val="000E7EF3"/>
    <w:rsid w:val="000F027F"/>
    <w:rsid w:val="000F4958"/>
    <w:rsid w:val="000F5CB7"/>
    <w:rsid w:val="0010450E"/>
    <w:rsid w:val="00132547"/>
    <w:rsid w:val="00134120"/>
    <w:rsid w:val="00135D64"/>
    <w:rsid w:val="0014058D"/>
    <w:rsid w:val="0014548C"/>
    <w:rsid w:val="001465A5"/>
    <w:rsid w:val="001520AF"/>
    <w:rsid w:val="001607D9"/>
    <w:rsid w:val="001664C4"/>
    <w:rsid w:val="00167A3A"/>
    <w:rsid w:val="00167C0A"/>
    <w:rsid w:val="00171068"/>
    <w:rsid w:val="0017216D"/>
    <w:rsid w:val="0017573C"/>
    <w:rsid w:val="0017770D"/>
    <w:rsid w:val="001823B0"/>
    <w:rsid w:val="00183D96"/>
    <w:rsid w:val="00184B01"/>
    <w:rsid w:val="001918F6"/>
    <w:rsid w:val="00194DA9"/>
    <w:rsid w:val="001A60E2"/>
    <w:rsid w:val="001B1121"/>
    <w:rsid w:val="001B373A"/>
    <w:rsid w:val="001B41A9"/>
    <w:rsid w:val="001C1C80"/>
    <w:rsid w:val="001C7D5F"/>
    <w:rsid w:val="001C7EA8"/>
    <w:rsid w:val="002000C7"/>
    <w:rsid w:val="00200C94"/>
    <w:rsid w:val="00204BEB"/>
    <w:rsid w:val="002133A7"/>
    <w:rsid w:val="00227700"/>
    <w:rsid w:val="00230DA2"/>
    <w:rsid w:val="00232608"/>
    <w:rsid w:val="002426EC"/>
    <w:rsid w:val="00244EF3"/>
    <w:rsid w:val="002538C8"/>
    <w:rsid w:val="00257E14"/>
    <w:rsid w:val="00262F35"/>
    <w:rsid w:val="00266793"/>
    <w:rsid w:val="0027502C"/>
    <w:rsid w:val="00284C89"/>
    <w:rsid w:val="00286339"/>
    <w:rsid w:val="002B1B81"/>
    <w:rsid w:val="002B48FC"/>
    <w:rsid w:val="002B4D5E"/>
    <w:rsid w:val="002C21B7"/>
    <w:rsid w:val="002E0C31"/>
    <w:rsid w:val="002E1E92"/>
    <w:rsid w:val="002E2A35"/>
    <w:rsid w:val="002E46AD"/>
    <w:rsid w:val="002E64B0"/>
    <w:rsid w:val="002E665F"/>
    <w:rsid w:val="002F5E11"/>
    <w:rsid w:val="00301AD9"/>
    <w:rsid w:val="00311400"/>
    <w:rsid w:val="0031516F"/>
    <w:rsid w:val="00324341"/>
    <w:rsid w:val="00324A97"/>
    <w:rsid w:val="00337057"/>
    <w:rsid w:val="003425DB"/>
    <w:rsid w:val="00344B99"/>
    <w:rsid w:val="00364DFF"/>
    <w:rsid w:val="0037482D"/>
    <w:rsid w:val="00377D57"/>
    <w:rsid w:val="00383C52"/>
    <w:rsid w:val="003A23CA"/>
    <w:rsid w:val="003A3CE0"/>
    <w:rsid w:val="003A73B2"/>
    <w:rsid w:val="003B2FE9"/>
    <w:rsid w:val="003C3164"/>
    <w:rsid w:val="0041496F"/>
    <w:rsid w:val="00415546"/>
    <w:rsid w:val="004273F0"/>
    <w:rsid w:val="00432061"/>
    <w:rsid w:val="0043581B"/>
    <w:rsid w:val="004475E7"/>
    <w:rsid w:val="00453954"/>
    <w:rsid w:val="00460EFB"/>
    <w:rsid w:val="0047381D"/>
    <w:rsid w:val="0048217E"/>
    <w:rsid w:val="004915D6"/>
    <w:rsid w:val="004A4CD9"/>
    <w:rsid w:val="004B05DD"/>
    <w:rsid w:val="004C368D"/>
    <w:rsid w:val="004C6FA2"/>
    <w:rsid w:val="004D48AD"/>
    <w:rsid w:val="004E148C"/>
    <w:rsid w:val="004E66EB"/>
    <w:rsid w:val="004E784A"/>
    <w:rsid w:val="004F296A"/>
    <w:rsid w:val="004F50E8"/>
    <w:rsid w:val="005225D5"/>
    <w:rsid w:val="005236D6"/>
    <w:rsid w:val="005312F6"/>
    <w:rsid w:val="0053615B"/>
    <w:rsid w:val="005548A3"/>
    <w:rsid w:val="0055508A"/>
    <w:rsid w:val="005651E6"/>
    <w:rsid w:val="00565D22"/>
    <w:rsid w:val="00572415"/>
    <w:rsid w:val="00575B7B"/>
    <w:rsid w:val="005825A2"/>
    <w:rsid w:val="00585E65"/>
    <w:rsid w:val="00591757"/>
    <w:rsid w:val="00593211"/>
    <w:rsid w:val="005A3766"/>
    <w:rsid w:val="005A7A9E"/>
    <w:rsid w:val="005C22DE"/>
    <w:rsid w:val="005C52A9"/>
    <w:rsid w:val="005C7169"/>
    <w:rsid w:val="005D0779"/>
    <w:rsid w:val="005E4CA4"/>
    <w:rsid w:val="005F3F2D"/>
    <w:rsid w:val="0062509B"/>
    <w:rsid w:val="00627EB0"/>
    <w:rsid w:val="006404CE"/>
    <w:rsid w:val="00643A7A"/>
    <w:rsid w:val="00644798"/>
    <w:rsid w:val="00661530"/>
    <w:rsid w:val="00661741"/>
    <w:rsid w:val="00662171"/>
    <w:rsid w:val="00664914"/>
    <w:rsid w:val="00667E2B"/>
    <w:rsid w:val="00671742"/>
    <w:rsid w:val="006951F6"/>
    <w:rsid w:val="0069744C"/>
    <w:rsid w:val="006A2192"/>
    <w:rsid w:val="006B019D"/>
    <w:rsid w:val="006B7E28"/>
    <w:rsid w:val="006C1264"/>
    <w:rsid w:val="006C7C77"/>
    <w:rsid w:val="006D3043"/>
    <w:rsid w:val="006E201B"/>
    <w:rsid w:val="006F2181"/>
    <w:rsid w:val="00701A78"/>
    <w:rsid w:val="007146AE"/>
    <w:rsid w:val="00722D65"/>
    <w:rsid w:val="007328F4"/>
    <w:rsid w:val="00736DB1"/>
    <w:rsid w:val="00743371"/>
    <w:rsid w:val="00752F15"/>
    <w:rsid w:val="00771506"/>
    <w:rsid w:val="00772426"/>
    <w:rsid w:val="007840E4"/>
    <w:rsid w:val="0078641C"/>
    <w:rsid w:val="007A15DE"/>
    <w:rsid w:val="007A6870"/>
    <w:rsid w:val="007A6DF4"/>
    <w:rsid w:val="007C56FC"/>
    <w:rsid w:val="007D5AE7"/>
    <w:rsid w:val="007E7724"/>
    <w:rsid w:val="007F0B01"/>
    <w:rsid w:val="00867417"/>
    <w:rsid w:val="00872D82"/>
    <w:rsid w:val="00887FF1"/>
    <w:rsid w:val="00890B27"/>
    <w:rsid w:val="008B0412"/>
    <w:rsid w:val="008B50D5"/>
    <w:rsid w:val="008E2D53"/>
    <w:rsid w:val="008E622F"/>
    <w:rsid w:val="008F1213"/>
    <w:rsid w:val="008F59F2"/>
    <w:rsid w:val="0090126D"/>
    <w:rsid w:val="00907156"/>
    <w:rsid w:val="009233FF"/>
    <w:rsid w:val="00927EAC"/>
    <w:rsid w:val="00930A17"/>
    <w:rsid w:val="009405E8"/>
    <w:rsid w:val="009425D3"/>
    <w:rsid w:val="00955A04"/>
    <w:rsid w:val="00962DDA"/>
    <w:rsid w:val="009637B8"/>
    <w:rsid w:val="00963EAF"/>
    <w:rsid w:val="00974FEA"/>
    <w:rsid w:val="00977730"/>
    <w:rsid w:val="009862AA"/>
    <w:rsid w:val="009951A3"/>
    <w:rsid w:val="009965AB"/>
    <w:rsid w:val="009A212E"/>
    <w:rsid w:val="009A4834"/>
    <w:rsid w:val="009B1B11"/>
    <w:rsid w:val="009C3056"/>
    <w:rsid w:val="009C3DAC"/>
    <w:rsid w:val="009D0598"/>
    <w:rsid w:val="009D2D3D"/>
    <w:rsid w:val="009E2A1C"/>
    <w:rsid w:val="00A21F38"/>
    <w:rsid w:val="00A3309C"/>
    <w:rsid w:val="00A371DE"/>
    <w:rsid w:val="00A519D8"/>
    <w:rsid w:val="00A561B5"/>
    <w:rsid w:val="00A57292"/>
    <w:rsid w:val="00A95F21"/>
    <w:rsid w:val="00AA7FF2"/>
    <w:rsid w:val="00AB0735"/>
    <w:rsid w:val="00AB23AC"/>
    <w:rsid w:val="00AB5B7E"/>
    <w:rsid w:val="00AB5DE1"/>
    <w:rsid w:val="00AC2645"/>
    <w:rsid w:val="00AC3DEF"/>
    <w:rsid w:val="00AD1FB1"/>
    <w:rsid w:val="00AD4EC6"/>
    <w:rsid w:val="00AE5C3D"/>
    <w:rsid w:val="00AE7A80"/>
    <w:rsid w:val="00AF5642"/>
    <w:rsid w:val="00B03F3B"/>
    <w:rsid w:val="00B05F11"/>
    <w:rsid w:val="00B11709"/>
    <w:rsid w:val="00B14A56"/>
    <w:rsid w:val="00B14D59"/>
    <w:rsid w:val="00B17F66"/>
    <w:rsid w:val="00B24081"/>
    <w:rsid w:val="00B3021D"/>
    <w:rsid w:val="00B34E0A"/>
    <w:rsid w:val="00B4255A"/>
    <w:rsid w:val="00B525E4"/>
    <w:rsid w:val="00B53EB6"/>
    <w:rsid w:val="00B53EEE"/>
    <w:rsid w:val="00B566A6"/>
    <w:rsid w:val="00B66A05"/>
    <w:rsid w:val="00B72873"/>
    <w:rsid w:val="00B77724"/>
    <w:rsid w:val="00B828F4"/>
    <w:rsid w:val="00B8645D"/>
    <w:rsid w:val="00B90556"/>
    <w:rsid w:val="00BA3FD9"/>
    <w:rsid w:val="00BB6BE5"/>
    <w:rsid w:val="00BB6BF0"/>
    <w:rsid w:val="00BC025E"/>
    <w:rsid w:val="00BC1D2B"/>
    <w:rsid w:val="00BE5E1E"/>
    <w:rsid w:val="00BF6A25"/>
    <w:rsid w:val="00C03233"/>
    <w:rsid w:val="00C11020"/>
    <w:rsid w:val="00C3650E"/>
    <w:rsid w:val="00C545C7"/>
    <w:rsid w:val="00C558DD"/>
    <w:rsid w:val="00C57595"/>
    <w:rsid w:val="00C61478"/>
    <w:rsid w:val="00C64DE9"/>
    <w:rsid w:val="00C7752B"/>
    <w:rsid w:val="00C84201"/>
    <w:rsid w:val="00C94DA1"/>
    <w:rsid w:val="00C96FC5"/>
    <w:rsid w:val="00CA32DD"/>
    <w:rsid w:val="00CA4884"/>
    <w:rsid w:val="00CD1DF7"/>
    <w:rsid w:val="00CD4661"/>
    <w:rsid w:val="00CE4562"/>
    <w:rsid w:val="00CF3B1A"/>
    <w:rsid w:val="00D004CA"/>
    <w:rsid w:val="00D054EF"/>
    <w:rsid w:val="00D076AC"/>
    <w:rsid w:val="00D326D8"/>
    <w:rsid w:val="00D337E0"/>
    <w:rsid w:val="00D37FEC"/>
    <w:rsid w:val="00D45D04"/>
    <w:rsid w:val="00D601F7"/>
    <w:rsid w:val="00D67E57"/>
    <w:rsid w:val="00D71F11"/>
    <w:rsid w:val="00D808BE"/>
    <w:rsid w:val="00D90519"/>
    <w:rsid w:val="00DA60C0"/>
    <w:rsid w:val="00DA6749"/>
    <w:rsid w:val="00DB1222"/>
    <w:rsid w:val="00DB1807"/>
    <w:rsid w:val="00DD488A"/>
    <w:rsid w:val="00DE23D0"/>
    <w:rsid w:val="00E06306"/>
    <w:rsid w:val="00E117CD"/>
    <w:rsid w:val="00E20E02"/>
    <w:rsid w:val="00E2118B"/>
    <w:rsid w:val="00E252DF"/>
    <w:rsid w:val="00E34C55"/>
    <w:rsid w:val="00E45D5F"/>
    <w:rsid w:val="00E515D7"/>
    <w:rsid w:val="00E666DA"/>
    <w:rsid w:val="00E667A2"/>
    <w:rsid w:val="00E67509"/>
    <w:rsid w:val="00E75370"/>
    <w:rsid w:val="00E75683"/>
    <w:rsid w:val="00E80101"/>
    <w:rsid w:val="00EA4E0B"/>
    <w:rsid w:val="00EA5F22"/>
    <w:rsid w:val="00EB0836"/>
    <w:rsid w:val="00EB2787"/>
    <w:rsid w:val="00EB2858"/>
    <w:rsid w:val="00EC3171"/>
    <w:rsid w:val="00EC6AE1"/>
    <w:rsid w:val="00EC73EB"/>
    <w:rsid w:val="00ED3C1E"/>
    <w:rsid w:val="00EE572E"/>
    <w:rsid w:val="00EF7FFA"/>
    <w:rsid w:val="00F0063B"/>
    <w:rsid w:val="00F04FC4"/>
    <w:rsid w:val="00F22891"/>
    <w:rsid w:val="00F266D4"/>
    <w:rsid w:val="00F3075A"/>
    <w:rsid w:val="00F40DA3"/>
    <w:rsid w:val="00F51E18"/>
    <w:rsid w:val="00F5430D"/>
    <w:rsid w:val="00F5724F"/>
    <w:rsid w:val="00F6390D"/>
    <w:rsid w:val="00F642A0"/>
    <w:rsid w:val="00F70D9F"/>
    <w:rsid w:val="00F83201"/>
    <w:rsid w:val="00F845A1"/>
    <w:rsid w:val="00FA4441"/>
    <w:rsid w:val="00FA7B43"/>
    <w:rsid w:val="00FB0DAC"/>
    <w:rsid w:val="00FB108C"/>
    <w:rsid w:val="00FB50CB"/>
    <w:rsid w:val="00FC4882"/>
    <w:rsid w:val="00FD6F2C"/>
    <w:rsid w:val="00FE2582"/>
    <w:rsid w:val="00FF5CCF"/>
    <w:rsid w:val="00FF6E67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04A5A"/>
  <w15:chartTrackingRefBased/>
  <w15:docId w15:val="{F120D32F-0A83-4178-9215-6E9846E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548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A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A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548A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548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54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8A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5548A3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548A3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A3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5548A3"/>
    <w:rPr>
      <w:b/>
      <w:bCs/>
      <w:smallCaps/>
      <w:color w:val="00264C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4F2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0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keep-britain-working-review-discovery/keep-britain-working-review-discovery" TargetMode="External"/><Relationship Id="rId13" Type="http://schemas.openxmlformats.org/officeDocument/2006/relationships/hyperlink" Target="https://www.gov.uk/government/news/reforms-to-building-safety-regulator-to-accelerate-housebuild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standardsdevelopment.bsigroup.com/projects/9024-10460" TargetMode="External"/><Relationship Id="rId12" Type="http://schemas.openxmlformats.org/officeDocument/2006/relationships/hyperlink" Target="https://prospect.org.uk/news/we-cannot-lose-sight-of-the-primary-goals-of-regulators" TargetMode="External"/><Relationship Id="rId17" Type="http://schemas.openxmlformats.org/officeDocument/2006/relationships/hyperlink" Target="https://vimeo.com/1087713652/b9155aab6f?ts=0&amp;share=cop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d.adobe.com/view/11565f94-2b68-4135-90e5-64fc2ec063e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ia/2023/127/pdfs/ukia_20230127_e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meo.com/1069273697/06a85f6d1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se.gov.uk/hse/chemicals-legislative-reform-proposal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-new-approach-to-ensure-regulators-and-regulation-support-growth/new-approach-to-ensure-regulators-and-regulation-support-growth-html" TargetMode="External"/><Relationship Id="rId14" Type="http://schemas.openxmlformats.org/officeDocument/2006/relationships/hyperlink" Target="https://prospect.org.uk/news/reforms-to-building-safety-regulator-will-need-investment-in-staff-to-be-successfu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8830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Chris Warburton</dc:creator>
  <cp:keywords/>
  <dc:description/>
  <cp:lastModifiedBy>Diana Gyamfi</cp:lastModifiedBy>
  <cp:revision>2</cp:revision>
  <cp:lastPrinted>2006-01-26T18:56:00Z</cp:lastPrinted>
  <dcterms:created xsi:type="dcterms:W3CDTF">2025-07-03T15:56:00Z</dcterms:created>
  <dcterms:modified xsi:type="dcterms:W3CDTF">2025-07-03T15:56:00Z</dcterms:modified>
</cp:coreProperties>
</file>