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6CD" w14:textId="77777777" w:rsidR="00193849" w:rsidRDefault="00193849" w:rsidP="009D1B93">
      <w:pPr>
        <w:rPr>
          <w:noProof/>
        </w:rPr>
      </w:pPr>
    </w:p>
    <w:p w14:paraId="56E53FB6" w14:textId="77777777" w:rsidR="00193849" w:rsidRDefault="00193849" w:rsidP="009D1B93"/>
    <w:p w14:paraId="33CA0FC5" w14:textId="77777777" w:rsidR="00193849" w:rsidRDefault="00193849" w:rsidP="009D1B93"/>
    <w:p w14:paraId="69CBCC8F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5919BCA8" w14:textId="77777777" w:rsidTr="00B159A3">
        <w:tc>
          <w:tcPr>
            <w:tcW w:w="434" w:type="dxa"/>
          </w:tcPr>
          <w:p w14:paraId="4A737B8A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4B57450F" w14:textId="7036A532" w:rsidR="00193849" w:rsidRPr="00E84930" w:rsidRDefault="00FA769B" w:rsidP="00E84930">
            <w:pPr>
              <w:pStyle w:val="Normalnospaceafterorbefore"/>
            </w:pPr>
            <w:r w:rsidRPr="00FA769B">
              <w:t>NEC Health and Safety Advisory Sub-Committee</w:t>
            </w:r>
          </w:p>
        </w:tc>
        <w:tc>
          <w:tcPr>
            <w:tcW w:w="3544" w:type="dxa"/>
            <w:tcMar>
              <w:left w:w="57" w:type="dxa"/>
            </w:tcMar>
          </w:tcPr>
          <w:p w14:paraId="6E0127D0" w14:textId="6779FD80" w:rsidR="00193849" w:rsidRPr="00E84930" w:rsidRDefault="00DC4D99" w:rsidP="00E84930">
            <w:pPr>
              <w:pStyle w:val="Normalnospaceafterorbefore"/>
            </w:pPr>
            <w:r>
              <w:t xml:space="preserve">3 July </w:t>
            </w:r>
            <w:r w:rsidR="00FA769B">
              <w:t>2025</w:t>
            </w:r>
          </w:p>
          <w:p w14:paraId="3D614ED3" w14:textId="77777777" w:rsidR="00193849" w:rsidRDefault="00193849" w:rsidP="00366762">
            <w:r>
              <w:fldChar w:fldCharType="begin">
                <w:ffData>
                  <w:name w:val=""/>
                  <w:enabled/>
                  <w:calcOnExit w:val="0"/>
                  <w:textInput>
                    <w:default w:val="CIRCULAR NUMBER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Circular Number</w:t>
            </w:r>
            <w:r>
              <w:fldChar w:fldCharType="end"/>
            </w:r>
          </w:p>
        </w:tc>
      </w:tr>
    </w:tbl>
    <w:p w14:paraId="4B676839" w14:textId="77777777" w:rsidR="00193849" w:rsidRDefault="00193849" w:rsidP="00366762"/>
    <w:p w14:paraId="591641D3" w14:textId="77777777" w:rsidR="00193849" w:rsidRDefault="00193849" w:rsidP="00366762"/>
    <w:p w14:paraId="45E823CD" w14:textId="309DF4D5" w:rsidR="00193849" w:rsidRDefault="00193849" w:rsidP="00366762">
      <w:r>
        <w:t xml:space="preserve">Dear </w:t>
      </w:r>
      <w:r w:rsidR="00FA769B">
        <w:t>c</w:t>
      </w:r>
      <w:r>
        <w:t>olleague</w:t>
      </w:r>
    </w:p>
    <w:p w14:paraId="75B25BBE" w14:textId="1D9AD3A8" w:rsidR="00193849" w:rsidRPr="0090150D" w:rsidRDefault="009039C2" w:rsidP="0090150D">
      <w:pPr>
        <w:pStyle w:val="Heading2"/>
      </w:pPr>
      <w:r>
        <w:t xml:space="preserve">Health and safety conference </w:t>
      </w:r>
      <w:r w:rsidR="0007580D">
        <w:t xml:space="preserve">2025 </w:t>
      </w:r>
      <w:r>
        <w:t>review</w:t>
      </w:r>
    </w:p>
    <w:p w14:paraId="00E6A525" w14:textId="7F1EC1DA" w:rsidR="00F75B81" w:rsidRDefault="00F75B81" w:rsidP="00E84930">
      <w:r w:rsidRPr="00F75B81">
        <w:t>Please find attached a paper providing an analysis and review of arrangements and attendance at the 202</w:t>
      </w:r>
      <w:r w:rsidR="005C255B">
        <w:t xml:space="preserve">5 </w:t>
      </w:r>
      <w:r w:rsidRPr="00F75B81">
        <w:t xml:space="preserve">health and safety conference, which was held at </w:t>
      </w:r>
      <w:r w:rsidR="005C255B">
        <w:t>Rochester Row on 9 April 2025</w:t>
      </w:r>
      <w:r w:rsidRPr="00F75B81">
        <w:t xml:space="preserve">. </w:t>
      </w:r>
    </w:p>
    <w:p w14:paraId="1949EDCB" w14:textId="738643DF" w:rsidR="00ED677E" w:rsidRDefault="00ED677E" w:rsidP="00E84930">
      <w:r>
        <w:t>Yours sincerely</w:t>
      </w:r>
    </w:p>
    <w:p w14:paraId="44343C0B" w14:textId="77777777" w:rsidR="00ED677E" w:rsidRDefault="00ED677E" w:rsidP="00ED677E"/>
    <w:p w14:paraId="22F04DC9" w14:textId="62D7BB2B" w:rsidR="00ED677E" w:rsidRDefault="00FA769B" w:rsidP="00E84930">
      <w:r>
        <w:t>Chris Warburton</w:t>
      </w:r>
    </w:p>
    <w:p w14:paraId="77E4DF0C" w14:textId="77777777" w:rsidR="00ED677E" w:rsidRDefault="00ED677E" w:rsidP="00ED677E">
      <w:pPr>
        <w:rPr>
          <w:b/>
        </w:rPr>
      </w:pPr>
    </w:p>
    <w:p w14:paraId="224DD70F" w14:textId="31FC4DEF" w:rsidR="006D3866" w:rsidRDefault="00FA769B" w:rsidP="006D3866">
      <w:r>
        <w:t>Health and safety research officer</w:t>
      </w:r>
    </w:p>
    <w:p w14:paraId="2CB97A28" w14:textId="6290085A" w:rsidR="00FA769B" w:rsidRDefault="00FA769B">
      <w:pPr>
        <w:spacing w:before="0"/>
      </w:pPr>
      <w:r>
        <w:br w:type="page"/>
      </w:r>
    </w:p>
    <w:p w14:paraId="4F6F0169" w14:textId="5380D9B3" w:rsidR="00CF69B4" w:rsidRPr="00CF69B4" w:rsidRDefault="00CF69B4" w:rsidP="00CF69B4">
      <w:pPr>
        <w:rPr>
          <w:b/>
          <w:kern w:val="32"/>
          <w:sz w:val="32"/>
          <w:szCs w:val="22"/>
          <w:lang w:eastAsia="en-US"/>
        </w:rPr>
      </w:pPr>
      <w:r w:rsidRPr="00CF69B4">
        <w:rPr>
          <w:b/>
          <w:kern w:val="32"/>
          <w:sz w:val="32"/>
          <w:szCs w:val="22"/>
          <w:lang w:eastAsia="en-US"/>
        </w:rPr>
        <w:lastRenderedPageBreak/>
        <w:t>Health and safety conference 202</w:t>
      </w:r>
      <w:r w:rsidR="00932F99">
        <w:rPr>
          <w:b/>
          <w:kern w:val="32"/>
          <w:sz w:val="32"/>
          <w:szCs w:val="22"/>
          <w:lang w:eastAsia="en-US"/>
        </w:rPr>
        <w:t>5</w:t>
      </w:r>
      <w:r w:rsidRPr="00CF69B4">
        <w:rPr>
          <w:b/>
          <w:kern w:val="32"/>
          <w:sz w:val="32"/>
          <w:szCs w:val="22"/>
          <w:lang w:eastAsia="en-US"/>
        </w:rPr>
        <w:t xml:space="preserve"> review</w:t>
      </w:r>
    </w:p>
    <w:p w14:paraId="2024AADE" w14:textId="06F2B69C" w:rsidR="00094D6C" w:rsidRPr="00CF69B4" w:rsidRDefault="00CF69B4" w:rsidP="00CF69B4">
      <w:r w:rsidRPr="00CF69B4">
        <w:rPr>
          <w:lang w:eastAsia="en-US"/>
        </w:rPr>
        <w:t xml:space="preserve">The following paper is </w:t>
      </w:r>
      <w:r w:rsidR="00D74F86">
        <w:rPr>
          <w:lang w:eastAsia="en-US"/>
        </w:rPr>
        <w:t xml:space="preserve">for information </w:t>
      </w:r>
      <w:r w:rsidR="00D46D95">
        <w:rPr>
          <w:lang w:eastAsia="en-US"/>
        </w:rPr>
        <w:t xml:space="preserve">and to support a discussion about </w:t>
      </w:r>
      <w:r w:rsidRPr="00CF69B4">
        <w:rPr>
          <w:lang w:eastAsia="en-US"/>
        </w:rPr>
        <w:t>202</w:t>
      </w:r>
      <w:r>
        <w:rPr>
          <w:lang w:eastAsia="en-US"/>
        </w:rPr>
        <w:t>5</w:t>
      </w:r>
      <w:r w:rsidRPr="00CF69B4">
        <w:rPr>
          <w:lang w:eastAsia="en-US"/>
        </w:rPr>
        <w:t xml:space="preserve"> health and safety conference and the issues we should consider when organising the next conference in two years’ time.</w:t>
      </w:r>
    </w:p>
    <w:p w14:paraId="48C1D9CA" w14:textId="2A580368" w:rsidR="005E17C1" w:rsidRDefault="0095547B" w:rsidP="005E17C1">
      <w:r w:rsidRPr="0095547B">
        <w:t xml:space="preserve">A total of </w:t>
      </w:r>
      <w:r w:rsidR="000C77B1">
        <w:t>76</w:t>
      </w:r>
      <w:r w:rsidRPr="0095547B">
        <w:t xml:space="preserve"> reps attended the event, including members of the NEC and the NEC H&amp;S advisory sub-committee.</w:t>
      </w:r>
      <w:r w:rsidR="005E17C1">
        <w:t xml:space="preserve"> Twenty one</w:t>
      </w:r>
      <w:r w:rsidR="005E17C1" w:rsidRPr="00324B63">
        <w:t xml:space="preserve"> people expressed an interest in attending</w:t>
      </w:r>
      <w:r w:rsidR="00C118CE">
        <w:t xml:space="preserve"> and were offered a place,</w:t>
      </w:r>
      <w:r w:rsidR="005E17C1" w:rsidRPr="00324B63">
        <w:t xml:space="preserve"> but subsequently </w:t>
      </w:r>
      <w:r w:rsidR="005E17C1">
        <w:t xml:space="preserve">cancelled. </w:t>
      </w:r>
    </w:p>
    <w:p w14:paraId="2AF79153" w14:textId="79A62804" w:rsidR="00C118CE" w:rsidRDefault="00C118CE" w:rsidP="00C118CE">
      <w:pPr>
        <w:rPr>
          <w:b/>
          <w:bCs/>
        </w:rPr>
      </w:pPr>
      <w:r w:rsidRPr="005B018F">
        <w:rPr>
          <w:b/>
          <w:bCs/>
        </w:rPr>
        <w:t xml:space="preserve">Attendees </w:t>
      </w:r>
    </w:p>
    <w:p w14:paraId="768EEF0C" w14:textId="7F1D924F" w:rsidR="00C118CE" w:rsidRDefault="00D02F47" w:rsidP="00C118CE">
      <w:r>
        <w:rPr>
          <w:noProof/>
        </w:rPr>
        <w:drawing>
          <wp:anchor distT="0" distB="0" distL="114300" distR="114300" simplePos="0" relativeHeight="251658240" behindDoc="0" locked="0" layoutInCell="1" allowOverlap="1" wp14:anchorId="326F4F06" wp14:editId="425B447E">
            <wp:simplePos x="0" y="0"/>
            <wp:positionH relativeFrom="margin">
              <wp:posOffset>33020</wp:posOffset>
            </wp:positionH>
            <wp:positionV relativeFrom="margin">
              <wp:posOffset>2181225</wp:posOffset>
            </wp:positionV>
            <wp:extent cx="5162550" cy="2667000"/>
            <wp:effectExtent l="0" t="0" r="0" b="0"/>
            <wp:wrapSquare wrapText="bothSides"/>
            <wp:docPr id="1835617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569AC98-8CCC-ADB7-9B1B-F65B21E1EE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C118CE">
        <w:t xml:space="preserve">In terms of sectors, reps from energy sector and public services made up over half of the attendees, although there was representation from all parts of the union. </w:t>
      </w:r>
    </w:p>
    <w:p w14:paraId="6D27E68E" w14:textId="77777777" w:rsidR="007D130F" w:rsidRPr="0079305B" w:rsidRDefault="007D130F" w:rsidP="007D130F">
      <w:pPr>
        <w:rPr>
          <w:b/>
          <w:bCs/>
        </w:rPr>
      </w:pPr>
      <w:r w:rsidRPr="0079305B">
        <w:rPr>
          <w:b/>
          <w:bCs/>
        </w:rPr>
        <w:t xml:space="preserve">Feedback </w:t>
      </w:r>
    </w:p>
    <w:p w14:paraId="2EC4C00F" w14:textId="0DC78521" w:rsidR="007D130F" w:rsidRDefault="007D130F" w:rsidP="007D130F">
      <w:r>
        <w:t>We sent attendees an online feedback form after the event, which was completed by 22 people. We asked them to rate a number of aspects of the event</w:t>
      </w:r>
      <w:r w:rsidR="009D2325">
        <w:t xml:space="preserve"> out of ten</w:t>
      </w:r>
      <w:r>
        <w:t xml:space="preserve">. </w:t>
      </w:r>
    </w:p>
    <w:p w14:paraId="322FA2A1" w14:textId="77777777" w:rsidR="000F773F" w:rsidRDefault="000F773F" w:rsidP="007D130F"/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153"/>
        <w:gridCol w:w="1922"/>
      </w:tblGrid>
      <w:tr w:rsidR="000F773F" w:rsidRPr="0087031F" w14:paraId="5043D674" w14:textId="77777777" w:rsidTr="000F0E3F">
        <w:trPr>
          <w:trHeight w:val="397"/>
        </w:trPr>
        <w:tc>
          <w:tcPr>
            <w:tcW w:w="6153" w:type="dxa"/>
            <w:vAlign w:val="center"/>
          </w:tcPr>
          <w:p w14:paraId="46F55520" w14:textId="77777777" w:rsidR="000F773F" w:rsidRPr="000F0E3F" w:rsidRDefault="000F773F" w:rsidP="000F0E3F"/>
        </w:tc>
        <w:tc>
          <w:tcPr>
            <w:tcW w:w="1922" w:type="dxa"/>
            <w:vAlign w:val="center"/>
          </w:tcPr>
          <w:p w14:paraId="4CCF8590" w14:textId="7967690F" w:rsidR="000F773F" w:rsidRPr="000F0E3F" w:rsidRDefault="000F773F" w:rsidP="000F0E3F">
            <w:r w:rsidRPr="000F0E3F">
              <w:t xml:space="preserve">Average </w:t>
            </w:r>
            <w:r w:rsidR="009D2325">
              <w:t>score</w:t>
            </w:r>
          </w:p>
        </w:tc>
      </w:tr>
      <w:tr w:rsidR="000F773F" w:rsidRPr="0087031F" w14:paraId="37B0DE6C" w14:textId="77777777" w:rsidTr="009D2325">
        <w:trPr>
          <w:trHeight w:val="397"/>
        </w:trPr>
        <w:tc>
          <w:tcPr>
            <w:tcW w:w="6153" w:type="dxa"/>
          </w:tcPr>
          <w:p w14:paraId="5587049E" w14:textId="77777777" w:rsidR="000F773F" w:rsidRPr="000F0E3F" w:rsidRDefault="000F773F" w:rsidP="000F0E3F">
            <w:r w:rsidRPr="000F0E3F">
              <w:t>Conference overall</w:t>
            </w:r>
          </w:p>
        </w:tc>
        <w:tc>
          <w:tcPr>
            <w:tcW w:w="1922" w:type="dxa"/>
            <w:vAlign w:val="center"/>
          </w:tcPr>
          <w:p w14:paraId="37C9117E" w14:textId="72EE80B4" w:rsidR="000F773F" w:rsidRPr="000F0E3F" w:rsidRDefault="000F773F" w:rsidP="009D2325">
            <w:pPr>
              <w:jc w:val="center"/>
            </w:pPr>
            <w:r w:rsidRPr="000F0E3F">
              <w:t>8.</w:t>
            </w:r>
            <w:r w:rsidR="00BA3432" w:rsidRPr="000F0E3F">
              <w:t>9</w:t>
            </w:r>
          </w:p>
        </w:tc>
      </w:tr>
      <w:tr w:rsidR="000F773F" w:rsidRPr="0087031F" w14:paraId="7738D316" w14:textId="77777777" w:rsidTr="009D2325">
        <w:trPr>
          <w:trHeight w:val="397"/>
        </w:trPr>
        <w:tc>
          <w:tcPr>
            <w:tcW w:w="6153" w:type="dxa"/>
            <w:vAlign w:val="center"/>
          </w:tcPr>
          <w:p w14:paraId="1751B24C" w14:textId="1B7589C2" w:rsidR="000F773F" w:rsidRPr="000F0E3F" w:rsidRDefault="000F773F" w:rsidP="000F0E3F">
            <w:r w:rsidRPr="000F0E3F">
              <w:t xml:space="preserve">Venue, </w:t>
            </w:r>
            <w:r w:rsidR="00450F14" w:rsidRPr="000F0E3F">
              <w:t>Rochester Row</w:t>
            </w:r>
          </w:p>
        </w:tc>
        <w:tc>
          <w:tcPr>
            <w:tcW w:w="1922" w:type="dxa"/>
            <w:vAlign w:val="center"/>
          </w:tcPr>
          <w:p w14:paraId="3431D804" w14:textId="396D0D73" w:rsidR="000F773F" w:rsidRPr="000F0E3F" w:rsidRDefault="000F773F" w:rsidP="009D2325">
            <w:pPr>
              <w:jc w:val="center"/>
            </w:pPr>
            <w:r w:rsidRPr="000F0E3F">
              <w:t>9.</w:t>
            </w:r>
            <w:r w:rsidR="00BA3432" w:rsidRPr="000F0E3F">
              <w:t>1</w:t>
            </w:r>
          </w:p>
        </w:tc>
      </w:tr>
      <w:tr w:rsidR="000F773F" w:rsidRPr="0087031F" w14:paraId="6BA71A71" w14:textId="77777777" w:rsidTr="009D2325">
        <w:trPr>
          <w:trHeight w:val="397"/>
        </w:trPr>
        <w:tc>
          <w:tcPr>
            <w:tcW w:w="6153" w:type="dxa"/>
            <w:vAlign w:val="center"/>
          </w:tcPr>
          <w:p w14:paraId="5A06F7B0" w14:textId="77777777" w:rsidR="000F773F" w:rsidRPr="000F0E3F" w:rsidRDefault="000F773F" w:rsidP="000F0E3F">
            <w:r w:rsidRPr="000F0E3F">
              <w:t>Catering</w:t>
            </w:r>
          </w:p>
        </w:tc>
        <w:tc>
          <w:tcPr>
            <w:tcW w:w="1922" w:type="dxa"/>
            <w:vAlign w:val="center"/>
          </w:tcPr>
          <w:p w14:paraId="58590F26" w14:textId="398F82B9" w:rsidR="000F773F" w:rsidRPr="000F0E3F" w:rsidRDefault="00BA3432" w:rsidP="009D2325">
            <w:pPr>
              <w:jc w:val="center"/>
            </w:pPr>
            <w:r w:rsidRPr="000F0E3F">
              <w:t>8.9</w:t>
            </w:r>
          </w:p>
        </w:tc>
      </w:tr>
      <w:tr w:rsidR="000F773F" w:rsidRPr="0087031F" w14:paraId="4CFB37EB" w14:textId="77777777" w:rsidTr="009D2325">
        <w:trPr>
          <w:trHeight w:val="397"/>
        </w:trPr>
        <w:tc>
          <w:tcPr>
            <w:tcW w:w="6153" w:type="dxa"/>
            <w:vAlign w:val="center"/>
          </w:tcPr>
          <w:p w14:paraId="04AE41A3" w14:textId="77777777" w:rsidR="000F773F" w:rsidRPr="000F0E3F" w:rsidRDefault="000F773F" w:rsidP="000F0E3F">
            <w:r w:rsidRPr="000F0E3F">
              <w:t>Location of the venue</w:t>
            </w:r>
          </w:p>
        </w:tc>
        <w:tc>
          <w:tcPr>
            <w:tcW w:w="1922" w:type="dxa"/>
            <w:vAlign w:val="center"/>
          </w:tcPr>
          <w:p w14:paraId="2C18C2F0" w14:textId="1F7C0B99" w:rsidR="000F773F" w:rsidRPr="000F0E3F" w:rsidRDefault="000F773F" w:rsidP="009D2325">
            <w:pPr>
              <w:jc w:val="center"/>
            </w:pPr>
            <w:r w:rsidRPr="000F0E3F">
              <w:t>9.</w:t>
            </w:r>
            <w:r w:rsidR="00BA3432" w:rsidRPr="000F0E3F">
              <w:t>2</w:t>
            </w:r>
          </w:p>
        </w:tc>
      </w:tr>
      <w:tr w:rsidR="000F773F" w:rsidRPr="0087031F" w14:paraId="0B744709" w14:textId="77777777" w:rsidTr="009D2325">
        <w:trPr>
          <w:trHeight w:val="397"/>
        </w:trPr>
        <w:tc>
          <w:tcPr>
            <w:tcW w:w="6153" w:type="dxa"/>
            <w:vAlign w:val="center"/>
          </w:tcPr>
          <w:p w14:paraId="5C9D1E31" w14:textId="77777777" w:rsidR="000F773F" w:rsidRPr="000F0E3F" w:rsidRDefault="000F773F" w:rsidP="000F0E3F">
            <w:r w:rsidRPr="000F0E3F">
              <w:t>Communication regarding arrangements (and accommodation)</w:t>
            </w:r>
          </w:p>
        </w:tc>
        <w:tc>
          <w:tcPr>
            <w:tcW w:w="1922" w:type="dxa"/>
            <w:vAlign w:val="center"/>
          </w:tcPr>
          <w:p w14:paraId="129C2641" w14:textId="42CECC98" w:rsidR="000F773F" w:rsidRPr="000F0E3F" w:rsidRDefault="000F773F" w:rsidP="009D2325">
            <w:pPr>
              <w:jc w:val="center"/>
            </w:pPr>
            <w:r w:rsidRPr="000F0E3F">
              <w:t>9.</w:t>
            </w:r>
            <w:r w:rsidR="00BA3432" w:rsidRPr="000F0E3F">
              <w:t>4</w:t>
            </w:r>
          </w:p>
        </w:tc>
      </w:tr>
      <w:tr w:rsidR="000F773F" w:rsidRPr="0087031F" w14:paraId="524AA48B" w14:textId="77777777" w:rsidTr="009D2325">
        <w:trPr>
          <w:trHeight w:val="397"/>
        </w:trPr>
        <w:tc>
          <w:tcPr>
            <w:tcW w:w="6153" w:type="dxa"/>
            <w:vAlign w:val="center"/>
          </w:tcPr>
          <w:p w14:paraId="06D5D953" w14:textId="1D893C22" w:rsidR="000F773F" w:rsidRPr="000F0E3F" w:rsidRDefault="000F773F" w:rsidP="000F0E3F">
            <w:r w:rsidRPr="000F0E3F">
              <w:t>Hotel (</w:t>
            </w:r>
            <w:r w:rsidR="004E52BA" w:rsidRPr="000F0E3F">
              <w:t>Park Plaza Victoria London</w:t>
            </w:r>
            <w:r w:rsidRPr="000F0E3F">
              <w:t>)</w:t>
            </w:r>
          </w:p>
        </w:tc>
        <w:tc>
          <w:tcPr>
            <w:tcW w:w="1922" w:type="dxa"/>
            <w:vAlign w:val="center"/>
          </w:tcPr>
          <w:p w14:paraId="54FEE957" w14:textId="1733EADD" w:rsidR="000F773F" w:rsidRPr="000F0E3F" w:rsidRDefault="00BA3432" w:rsidP="009D2325">
            <w:pPr>
              <w:jc w:val="center"/>
            </w:pPr>
            <w:r w:rsidRPr="000F0E3F">
              <w:t>8</w:t>
            </w:r>
            <w:r w:rsidR="000F773F" w:rsidRPr="000F0E3F">
              <w:t>.4</w:t>
            </w:r>
          </w:p>
        </w:tc>
      </w:tr>
    </w:tbl>
    <w:p w14:paraId="3B4FD5CA" w14:textId="753B619B" w:rsidR="007D130F" w:rsidRDefault="007D130F" w:rsidP="007D130F">
      <w:r>
        <w:lastRenderedPageBreak/>
        <w:t>We also asked a net promoter question (i.e. how likely, out of 10, are you to recommend attending the conference to a colleague – with people who score it 9-10 considered “promoters”; 7-8 “passives</w:t>
      </w:r>
      <w:r w:rsidR="00031379">
        <w:t>”</w:t>
      </w:r>
      <w:r>
        <w:t xml:space="preserve">; and 0-6 “detractors”. The percentage of detractors is subtracted from the promoters to give the net promoter score), a standard customer experience metric. This produced a score of </w:t>
      </w:r>
      <w:r w:rsidR="00031379">
        <w:t>76</w:t>
      </w:r>
      <w:r>
        <w:t>. Generally, a score of 50+ is considered excellent.</w:t>
      </w:r>
    </w:p>
    <w:p w14:paraId="74CA4E25" w14:textId="4C88F76C" w:rsidR="006B584C" w:rsidRDefault="006B584C" w:rsidP="007D130F">
      <w:r w:rsidRPr="006B584C">
        <w:t>Asked which parts of the conference were most useful and interestin</w:t>
      </w:r>
      <w:r w:rsidR="00FC4C01">
        <w:t>g, a large number of respondents highlighted their breakout/workshop sessions. All four were mentioned by different respondents</w:t>
      </w:r>
      <w:r w:rsidR="006C17F0">
        <w:t xml:space="preserve">, but </w:t>
      </w:r>
      <w:r w:rsidR="004C0B9F">
        <w:t xml:space="preserve">the session led by Cathy Collins from Prospect’s ONR branch received most praise. </w:t>
      </w:r>
    </w:p>
    <w:p w14:paraId="25F92E3E" w14:textId="7B1FFB5A" w:rsidR="003350EC" w:rsidRDefault="003350EC" w:rsidP="003350EC">
      <w:r>
        <w:t>Networking with other reps was consistently highlighted as one of the most useful aspects of</w:t>
      </w:r>
      <w:r w:rsidR="00211881">
        <w:t xml:space="preserve"> the event</w:t>
      </w:r>
      <w:r>
        <w:t>,</w:t>
      </w:r>
      <w:r w:rsidR="00A278FC">
        <w:t xml:space="preserve"> as it </w:t>
      </w:r>
      <w:r>
        <w:t>offer</w:t>
      </w:r>
      <w:r w:rsidR="00A278FC">
        <w:t>ed</w:t>
      </w:r>
      <w:r>
        <w:t xml:space="preserve"> insight into shared challenges and different approaches across workplaces</w:t>
      </w:r>
      <w:r w:rsidR="00A278FC">
        <w:t xml:space="preserve"> and branches</w:t>
      </w:r>
      <w:r>
        <w:t xml:space="preserve">. </w:t>
      </w:r>
    </w:p>
    <w:p w14:paraId="24766792" w14:textId="14FAB365" w:rsidR="007732C1" w:rsidRDefault="00AD5011" w:rsidP="007732C1">
      <w:r>
        <w:t xml:space="preserve">Attendees appreciated the opportunity to hear from and put questions to Mike Cancy </w:t>
      </w:r>
      <w:r w:rsidR="00D17397">
        <w:t xml:space="preserve">over the extended period that was presented by the minister being unable to attend. </w:t>
      </w:r>
      <w:r w:rsidR="007732C1">
        <w:t>A number of attendees</w:t>
      </w:r>
      <w:r w:rsidR="007732C1" w:rsidRPr="007732C1">
        <w:t xml:space="preserve"> </w:t>
      </w:r>
      <w:r w:rsidR="007732C1">
        <w:t xml:space="preserve">singled out Prof Paul Almond’s presentation a highlight. Prof Phoebe Moore’s presentation divided opinion. A number said </w:t>
      </w:r>
      <w:r w:rsidR="00B02F2D">
        <w:t xml:space="preserve">it </w:t>
      </w:r>
      <w:r w:rsidR="007732C1">
        <w:t xml:space="preserve">was among the highlights and </w:t>
      </w:r>
      <w:r w:rsidR="00B02F2D">
        <w:t xml:space="preserve">they </w:t>
      </w:r>
      <w:r w:rsidR="007732C1">
        <w:t xml:space="preserve">would be raising the issue of AI with their employer, but </w:t>
      </w:r>
      <w:r w:rsidR="00152320">
        <w:t>some</w:t>
      </w:r>
      <w:r w:rsidR="007732C1">
        <w:t xml:space="preserve"> said it was disjointed, not pitched at the correct level for the audience and that the slides were not accessible. </w:t>
      </w:r>
    </w:p>
    <w:p w14:paraId="38CC2846" w14:textId="5FD6FE88" w:rsidR="00FD5A09" w:rsidRDefault="00FD5A09" w:rsidP="007D130F">
      <w:r>
        <w:t>Ask</w:t>
      </w:r>
      <w:r w:rsidR="00A44EF5">
        <w:t>ed</w:t>
      </w:r>
      <w:r>
        <w:t xml:space="preserve"> what was least interesting, most respondents said nothing at all</w:t>
      </w:r>
      <w:r w:rsidR="00A44EF5">
        <w:t xml:space="preserve"> – that everything was useful in some way</w:t>
      </w:r>
      <w:r>
        <w:t>. A few said they were assigned to breakout/workshop sessions</w:t>
      </w:r>
      <w:r w:rsidR="00705382">
        <w:t xml:space="preserve"> which they already knew about or </w:t>
      </w:r>
      <w:r w:rsidR="00A44EF5">
        <w:t xml:space="preserve">that </w:t>
      </w:r>
      <w:r w:rsidR="00561E24">
        <w:t xml:space="preserve">was not relevant to their situation. </w:t>
      </w:r>
    </w:p>
    <w:p w14:paraId="029A0570" w14:textId="12E32E79" w:rsidR="00F1307E" w:rsidRDefault="00F1307E" w:rsidP="007D130F">
      <w:r>
        <w:t xml:space="preserve">We had sent a poll to all attendees asking them to </w:t>
      </w:r>
      <w:r w:rsidR="00292BFA">
        <w:t xml:space="preserve">choose their preferred workshop session. Some were oversubscribed, meaning attendees had to be </w:t>
      </w:r>
      <w:r w:rsidR="0087361E">
        <w:t xml:space="preserve">assigned to their second </w:t>
      </w:r>
      <w:r w:rsidR="00BE4817">
        <w:t xml:space="preserve">or third preferred workshop session, and a number did not respond. </w:t>
      </w:r>
    </w:p>
    <w:p w14:paraId="217F7F76" w14:textId="01DC4726" w:rsidR="00836563" w:rsidRDefault="00836563" w:rsidP="007D130F">
      <w:r>
        <w:t>Asked whether they</w:t>
      </w:r>
      <w:r w:rsidR="00BE4817">
        <w:t xml:space="preserve"> would</w:t>
      </w:r>
      <w:r>
        <w:t xml:space="preserve"> </w:t>
      </w:r>
      <w:r w:rsidRPr="00836563">
        <w:t xml:space="preserve">implement or change anything in </w:t>
      </w:r>
      <w:r w:rsidR="00BE4817">
        <w:t>their</w:t>
      </w:r>
      <w:r w:rsidRPr="00836563">
        <w:t xml:space="preserve"> branch/workplace as a result of</w:t>
      </w:r>
      <w:r w:rsidR="00BE4817">
        <w:t xml:space="preserve"> </w:t>
      </w:r>
      <w:r w:rsidRPr="00836563">
        <w:t>attendance</w:t>
      </w:r>
      <w:r>
        <w:t xml:space="preserve">, </w:t>
      </w:r>
      <w:r w:rsidR="00303B81">
        <w:t xml:space="preserve">the </w:t>
      </w:r>
      <w:r w:rsidR="00BE4817">
        <w:t xml:space="preserve">respondents </w:t>
      </w:r>
      <w:r w:rsidR="007C09BC">
        <w:t>said they would in</w:t>
      </w:r>
      <w:r w:rsidR="00303B81">
        <w:t>tegrat</w:t>
      </w:r>
      <w:r w:rsidR="007C09BC">
        <w:t xml:space="preserve">e </w:t>
      </w:r>
      <w:r w:rsidR="00303B81">
        <w:t>stress</w:t>
      </w:r>
      <w:r w:rsidR="007C09BC">
        <w:t>/w</w:t>
      </w:r>
      <w:r w:rsidR="00303B81">
        <w:t xml:space="preserve">ellbeing into their work as a health and safety rep. </w:t>
      </w:r>
      <w:r w:rsidR="003D2057">
        <w:t xml:space="preserve">Some highlighted that they will seek to engage members more </w:t>
      </w:r>
      <w:r w:rsidR="007C09BC">
        <w:t xml:space="preserve">actively </w:t>
      </w:r>
      <w:r w:rsidR="003D2057">
        <w:t xml:space="preserve">in health and safety work, and that they will </w:t>
      </w:r>
      <w:r w:rsidR="001752E9">
        <w:t xml:space="preserve">generally become more vocal and proactive on health and safety matters. </w:t>
      </w:r>
    </w:p>
    <w:p w14:paraId="32ABA7DA" w14:textId="506FE582" w:rsidR="003E47FB" w:rsidRDefault="00506395" w:rsidP="000F0E3F">
      <w:r>
        <w:t>In terms of the facilities and arrangements, t</w:t>
      </w:r>
      <w:r w:rsidR="000F0E3F" w:rsidRPr="000F0E3F">
        <w:t>he standard of Rochester Row and the conference facilities, and the hotel (Park Plaza Victoria)</w:t>
      </w:r>
      <w:r w:rsidR="005F78E4">
        <w:t xml:space="preserve"> were frequently praised. </w:t>
      </w:r>
      <w:r w:rsidR="006D4D74">
        <w:t xml:space="preserve">However, the length of the queue for lunch and the </w:t>
      </w:r>
      <w:r w:rsidR="00E75F5F">
        <w:t xml:space="preserve">finding somewhere to sit and eat were common complaints. </w:t>
      </w:r>
    </w:p>
    <w:sectPr w:rsidR="003E47FB" w:rsidSect="000B29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846B" w14:textId="77777777" w:rsidR="00386C9F" w:rsidRDefault="00386C9F">
      <w:r>
        <w:separator/>
      </w:r>
    </w:p>
  </w:endnote>
  <w:endnote w:type="continuationSeparator" w:id="0">
    <w:p w14:paraId="35F2AE5D" w14:textId="77777777" w:rsidR="00386C9F" w:rsidRDefault="0038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CCDF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7AE6E43" w14:textId="77777777" w:rsidR="001918F6" w:rsidRDefault="001918F6">
    <w:pPr>
      <w:pStyle w:val="Footer"/>
    </w:pPr>
  </w:p>
  <w:p w14:paraId="29C8E5D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7EF" w14:textId="77777777" w:rsidR="00502984" w:rsidRDefault="00502984" w:rsidP="00502984">
    <w:pPr>
      <w:pStyle w:val="Footer"/>
      <w:jc w:val="center"/>
    </w:pPr>
  </w:p>
  <w:p w14:paraId="0FF84E22" w14:textId="77777777" w:rsidR="00502984" w:rsidRDefault="00502984" w:rsidP="00502984">
    <w:pPr>
      <w:pStyle w:val="Footer"/>
      <w:jc w:val="center"/>
    </w:pPr>
  </w:p>
  <w:p w14:paraId="43DA2DD1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1F4371CF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720CD3D0" w14:textId="77777777" w:rsidR="005C7769" w:rsidRDefault="005C7769" w:rsidP="005C7769">
          <w:pPr>
            <w:pStyle w:val="Prospectaddress"/>
          </w:pPr>
          <w:r>
            <w:t>Prospect</w:t>
          </w:r>
        </w:p>
        <w:p w14:paraId="7126C75F" w14:textId="77777777" w:rsidR="005C7769" w:rsidRPr="009E6FEE" w:rsidRDefault="005C7769" w:rsidP="005C7769">
          <w:pPr>
            <w:pStyle w:val="Prospectaddress"/>
          </w:pPr>
          <w:r>
            <w:t>100 Rochester Row</w:t>
          </w:r>
        </w:p>
        <w:p w14:paraId="77BB8E9B" w14:textId="77777777" w:rsidR="005C7769" w:rsidRPr="00CB5A86" w:rsidRDefault="005C7769" w:rsidP="005C7769">
          <w:pPr>
            <w:pStyle w:val="Prospectaddress"/>
          </w:pPr>
          <w:r w:rsidRPr="00CB5A86">
            <w:t>London</w:t>
          </w:r>
        </w:p>
        <w:p w14:paraId="715ABD54" w14:textId="77777777" w:rsidR="00E84930" w:rsidRPr="00CB5A86" w:rsidRDefault="005C7769" w:rsidP="005C7769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411E2472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3C68F6AA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21CBBC04" w14:textId="77777777" w:rsidR="00E84930" w:rsidRPr="00CB5A86" w:rsidRDefault="00E84930" w:rsidP="00BD4843">
          <w:pPr>
            <w:pStyle w:val="Prospectaddress"/>
          </w:pPr>
        </w:p>
        <w:p w14:paraId="1FF89A48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7971C7C5" w14:textId="77777777" w:rsidR="00193849" w:rsidRPr="00193849" w:rsidRDefault="00193849" w:rsidP="00E84930">
    <w:pPr>
      <w:pStyle w:val="Footer"/>
      <w:spacing w:afterLines="60" w:after="144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F7ED" w14:textId="77777777" w:rsidR="00386C9F" w:rsidRDefault="00386C9F">
      <w:r>
        <w:separator/>
      </w:r>
    </w:p>
  </w:footnote>
  <w:footnote w:type="continuationSeparator" w:id="0">
    <w:p w14:paraId="66D4CD88" w14:textId="77777777" w:rsidR="00386C9F" w:rsidRDefault="0038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6E24" w14:textId="77777777" w:rsidR="00BD4843" w:rsidRDefault="00BD4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E3CA" w14:textId="77777777" w:rsidR="00BD4843" w:rsidRDefault="00BD4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CED5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7DCAC565" wp14:editId="6703AE0C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4456F6"/>
    <w:multiLevelType w:val="hybridMultilevel"/>
    <w:tmpl w:val="DB3E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0154124"/>
    <w:multiLevelType w:val="hybridMultilevel"/>
    <w:tmpl w:val="46E2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A3FC2"/>
    <w:multiLevelType w:val="hybridMultilevel"/>
    <w:tmpl w:val="57D0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729E"/>
    <w:multiLevelType w:val="hybridMultilevel"/>
    <w:tmpl w:val="CD30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56221"/>
    <w:multiLevelType w:val="multilevel"/>
    <w:tmpl w:val="D00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236DB"/>
    <w:multiLevelType w:val="hybridMultilevel"/>
    <w:tmpl w:val="5FE8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2428">
    <w:abstractNumId w:val="6"/>
  </w:num>
  <w:num w:numId="2" w16cid:durableId="1075587592">
    <w:abstractNumId w:val="0"/>
  </w:num>
  <w:num w:numId="3" w16cid:durableId="1380278112">
    <w:abstractNumId w:val="2"/>
  </w:num>
  <w:num w:numId="4" w16cid:durableId="576327041">
    <w:abstractNumId w:val="10"/>
  </w:num>
  <w:num w:numId="5" w16cid:durableId="777066700">
    <w:abstractNumId w:val="11"/>
  </w:num>
  <w:num w:numId="6" w16cid:durableId="593898429">
    <w:abstractNumId w:val="8"/>
  </w:num>
  <w:num w:numId="7" w16cid:durableId="2072339418">
    <w:abstractNumId w:val="2"/>
  </w:num>
  <w:num w:numId="8" w16cid:durableId="1562592997">
    <w:abstractNumId w:val="2"/>
  </w:num>
  <w:num w:numId="9" w16cid:durableId="909461551">
    <w:abstractNumId w:val="2"/>
  </w:num>
  <w:num w:numId="10" w16cid:durableId="1479031088">
    <w:abstractNumId w:val="2"/>
  </w:num>
  <w:num w:numId="11" w16cid:durableId="1634166606">
    <w:abstractNumId w:val="2"/>
  </w:num>
  <w:num w:numId="12" w16cid:durableId="1905525673">
    <w:abstractNumId w:val="0"/>
  </w:num>
  <w:num w:numId="13" w16cid:durableId="1736586276">
    <w:abstractNumId w:val="0"/>
  </w:num>
  <w:num w:numId="14" w16cid:durableId="1768771206">
    <w:abstractNumId w:val="0"/>
  </w:num>
  <w:num w:numId="15" w16cid:durableId="565608059">
    <w:abstractNumId w:val="0"/>
  </w:num>
  <w:num w:numId="16" w16cid:durableId="775947301">
    <w:abstractNumId w:val="0"/>
  </w:num>
  <w:num w:numId="17" w16cid:durableId="396902891">
    <w:abstractNumId w:val="1"/>
  </w:num>
  <w:num w:numId="18" w16cid:durableId="394202253">
    <w:abstractNumId w:val="5"/>
  </w:num>
  <w:num w:numId="19" w16cid:durableId="610749976">
    <w:abstractNumId w:val="3"/>
  </w:num>
  <w:num w:numId="20" w16cid:durableId="1518884391">
    <w:abstractNumId w:val="9"/>
  </w:num>
  <w:num w:numId="21" w16cid:durableId="2029406264">
    <w:abstractNumId w:val="4"/>
  </w:num>
  <w:num w:numId="22" w16cid:durableId="16117433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B"/>
    <w:rsid w:val="00017C38"/>
    <w:rsid w:val="00025ECB"/>
    <w:rsid w:val="00031379"/>
    <w:rsid w:val="00032DF0"/>
    <w:rsid w:val="00064583"/>
    <w:rsid w:val="0007580D"/>
    <w:rsid w:val="000765A0"/>
    <w:rsid w:val="00082524"/>
    <w:rsid w:val="00094D6C"/>
    <w:rsid w:val="000A2576"/>
    <w:rsid w:val="000A26AF"/>
    <w:rsid w:val="000B29B8"/>
    <w:rsid w:val="000C77B1"/>
    <w:rsid w:val="000D422F"/>
    <w:rsid w:val="000F0E3F"/>
    <w:rsid w:val="000F773F"/>
    <w:rsid w:val="001004E8"/>
    <w:rsid w:val="00103E3C"/>
    <w:rsid w:val="0010622B"/>
    <w:rsid w:val="00130322"/>
    <w:rsid w:val="00141B29"/>
    <w:rsid w:val="00145675"/>
    <w:rsid w:val="001465A5"/>
    <w:rsid w:val="00146F22"/>
    <w:rsid w:val="001500B3"/>
    <w:rsid w:val="001520AF"/>
    <w:rsid w:val="00152320"/>
    <w:rsid w:val="0015465B"/>
    <w:rsid w:val="00165CA1"/>
    <w:rsid w:val="00167C0A"/>
    <w:rsid w:val="001752E9"/>
    <w:rsid w:val="00183D96"/>
    <w:rsid w:val="001918F6"/>
    <w:rsid w:val="00193849"/>
    <w:rsid w:val="001978A0"/>
    <w:rsid w:val="001A14FD"/>
    <w:rsid w:val="001B12AC"/>
    <w:rsid w:val="001D745C"/>
    <w:rsid w:val="001E42AE"/>
    <w:rsid w:val="001F40BB"/>
    <w:rsid w:val="00211881"/>
    <w:rsid w:val="00244EF3"/>
    <w:rsid w:val="00292BFA"/>
    <w:rsid w:val="00296176"/>
    <w:rsid w:val="002B29E2"/>
    <w:rsid w:val="002B48FC"/>
    <w:rsid w:val="002E2A35"/>
    <w:rsid w:val="002F1FF8"/>
    <w:rsid w:val="00303B81"/>
    <w:rsid w:val="00324B63"/>
    <w:rsid w:val="00333395"/>
    <w:rsid w:val="003350EC"/>
    <w:rsid w:val="00336075"/>
    <w:rsid w:val="003425DB"/>
    <w:rsid w:val="00350131"/>
    <w:rsid w:val="00366762"/>
    <w:rsid w:val="003808A6"/>
    <w:rsid w:val="00386C9F"/>
    <w:rsid w:val="00394850"/>
    <w:rsid w:val="003A579B"/>
    <w:rsid w:val="003B2FE9"/>
    <w:rsid w:val="003C77BC"/>
    <w:rsid w:val="003D2057"/>
    <w:rsid w:val="003D4128"/>
    <w:rsid w:val="003E47FB"/>
    <w:rsid w:val="003F3DF4"/>
    <w:rsid w:val="00423A64"/>
    <w:rsid w:val="00450F14"/>
    <w:rsid w:val="0047381D"/>
    <w:rsid w:val="004915D6"/>
    <w:rsid w:val="004C0B9F"/>
    <w:rsid w:val="004E52BA"/>
    <w:rsid w:val="004F0360"/>
    <w:rsid w:val="004F1DA8"/>
    <w:rsid w:val="00502984"/>
    <w:rsid w:val="00506395"/>
    <w:rsid w:val="00521A6D"/>
    <w:rsid w:val="00521E08"/>
    <w:rsid w:val="0053615B"/>
    <w:rsid w:val="00561E24"/>
    <w:rsid w:val="00571162"/>
    <w:rsid w:val="00584DC8"/>
    <w:rsid w:val="00591DD4"/>
    <w:rsid w:val="005A52BA"/>
    <w:rsid w:val="005B018F"/>
    <w:rsid w:val="005B38C8"/>
    <w:rsid w:val="005C255B"/>
    <w:rsid w:val="005C7769"/>
    <w:rsid w:val="005E17C1"/>
    <w:rsid w:val="005F78E4"/>
    <w:rsid w:val="006233F1"/>
    <w:rsid w:val="006404CE"/>
    <w:rsid w:val="00643A7A"/>
    <w:rsid w:val="00662F22"/>
    <w:rsid w:val="00664F37"/>
    <w:rsid w:val="00667E2B"/>
    <w:rsid w:val="006A2192"/>
    <w:rsid w:val="006B584C"/>
    <w:rsid w:val="006C17F0"/>
    <w:rsid w:val="006C7C77"/>
    <w:rsid w:val="006D3043"/>
    <w:rsid w:val="006D3866"/>
    <w:rsid w:val="006D4D74"/>
    <w:rsid w:val="006E193B"/>
    <w:rsid w:val="00705382"/>
    <w:rsid w:val="00706807"/>
    <w:rsid w:val="007118E4"/>
    <w:rsid w:val="007328F4"/>
    <w:rsid w:val="007355E7"/>
    <w:rsid w:val="007471F1"/>
    <w:rsid w:val="00752F15"/>
    <w:rsid w:val="0076699C"/>
    <w:rsid w:val="00771506"/>
    <w:rsid w:val="007732C1"/>
    <w:rsid w:val="0079305B"/>
    <w:rsid w:val="00793303"/>
    <w:rsid w:val="007C09BC"/>
    <w:rsid w:val="007D130F"/>
    <w:rsid w:val="007D5AE7"/>
    <w:rsid w:val="007E3F00"/>
    <w:rsid w:val="007E70E2"/>
    <w:rsid w:val="007F4B7B"/>
    <w:rsid w:val="0083192C"/>
    <w:rsid w:val="00836563"/>
    <w:rsid w:val="00867417"/>
    <w:rsid w:val="00872B72"/>
    <w:rsid w:val="0087361E"/>
    <w:rsid w:val="0089439E"/>
    <w:rsid w:val="008B0412"/>
    <w:rsid w:val="008B50D5"/>
    <w:rsid w:val="008D33BE"/>
    <w:rsid w:val="008E0B5F"/>
    <w:rsid w:val="0090150D"/>
    <w:rsid w:val="009039C2"/>
    <w:rsid w:val="009234A2"/>
    <w:rsid w:val="00932F99"/>
    <w:rsid w:val="00950594"/>
    <w:rsid w:val="00953586"/>
    <w:rsid w:val="0095547B"/>
    <w:rsid w:val="009637B8"/>
    <w:rsid w:val="009D1B93"/>
    <w:rsid w:val="009D2325"/>
    <w:rsid w:val="00A0020C"/>
    <w:rsid w:val="00A278FC"/>
    <w:rsid w:val="00A406B2"/>
    <w:rsid w:val="00A449A1"/>
    <w:rsid w:val="00A44EF5"/>
    <w:rsid w:val="00A45A31"/>
    <w:rsid w:val="00A540F0"/>
    <w:rsid w:val="00AD0AA9"/>
    <w:rsid w:val="00AD5011"/>
    <w:rsid w:val="00AF4BFD"/>
    <w:rsid w:val="00B01E2E"/>
    <w:rsid w:val="00B02F2D"/>
    <w:rsid w:val="00B24081"/>
    <w:rsid w:val="00B717DB"/>
    <w:rsid w:val="00BA3432"/>
    <w:rsid w:val="00BB38E4"/>
    <w:rsid w:val="00BD4843"/>
    <w:rsid w:val="00BE4817"/>
    <w:rsid w:val="00BF6A25"/>
    <w:rsid w:val="00C118CE"/>
    <w:rsid w:val="00C511B1"/>
    <w:rsid w:val="00C54012"/>
    <w:rsid w:val="00C545C7"/>
    <w:rsid w:val="00C7137B"/>
    <w:rsid w:val="00C84201"/>
    <w:rsid w:val="00C849B6"/>
    <w:rsid w:val="00C87447"/>
    <w:rsid w:val="00C87D87"/>
    <w:rsid w:val="00C957C2"/>
    <w:rsid w:val="00CC5559"/>
    <w:rsid w:val="00CD1DF7"/>
    <w:rsid w:val="00CD1EB9"/>
    <w:rsid w:val="00CF69B4"/>
    <w:rsid w:val="00D02B4A"/>
    <w:rsid w:val="00D02F47"/>
    <w:rsid w:val="00D054EF"/>
    <w:rsid w:val="00D17397"/>
    <w:rsid w:val="00D37076"/>
    <w:rsid w:val="00D37FEC"/>
    <w:rsid w:val="00D44FC5"/>
    <w:rsid w:val="00D46D95"/>
    <w:rsid w:val="00D56D7F"/>
    <w:rsid w:val="00D70093"/>
    <w:rsid w:val="00D74F86"/>
    <w:rsid w:val="00DA60C0"/>
    <w:rsid w:val="00DC4D99"/>
    <w:rsid w:val="00DC76CB"/>
    <w:rsid w:val="00DE23D0"/>
    <w:rsid w:val="00E06306"/>
    <w:rsid w:val="00E06AD4"/>
    <w:rsid w:val="00E2086C"/>
    <w:rsid w:val="00E34C55"/>
    <w:rsid w:val="00E36C5B"/>
    <w:rsid w:val="00E45D5F"/>
    <w:rsid w:val="00E56222"/>
    <w:rsid w:val="00E736F6"/>
    <w:rsid w:val="00E75683"/>
    <w:rsid w:val="00E75F5F"/>
    <w:rsid w:val="00E831C5"/>
    <w:rsid w:val="00E8399E"/>
    <w:rsid w:val="00E84930"/>
    <w:rsid w:val="00EA5F22"/>
    <w:rsid w:val="00EC2D8D"/>
    <w:rsid w:val="00EC3171"/>
    <w:rsid w:val="00EC73EB"/>
    <w:rsid w:val="00ED3AC2"/>
    <w:rsid w:val="00ED4724"/>
    <w:rsid w:val="00ED677E"/>
    <w:rsid w:val="00EE572E"/>
    <w:rsid w:val="00F0063B"/>
    <w:rsid w:val="00F04FC4"/>
    <w:rsid w:val="00F1307E"/>
    <w:rsid w:val="00F4074C"/>
    <w:rsid w:val="00F40DA3"/>
    <w:rsid w:val="00F60F30"/>
    <w:rsid w:val="00F75B81"/>
    <w:rsid w:val="00F83201"/>
    <w:rsid w:val="00FA36C1"/>
    <w:rsid w:val="00FA3EEC"/>
    <w:rsid w:val="00FA769B"/>
    <w:rsid w:val="00FB0DAC"/>
    <w:rsid w:val="00FB77B1"/>
    <w:rsid w:val="00FC4C01"/>
    <w:rsid w:val="00FC7EA5"/>
    <w:rsid w:val="00FD4C62"/>
    <w:rsid w:val="00FD5A09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67914"/>
  <w15:docId w15:val="{F0F3600C-04D5-47BF-91E7-6DF0667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1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1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6D3866"/>
    <w:pPr>
      <w:numPr>
        <w:ilvl w:val="2"/>
        <w:numId w:val="11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1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1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qFormat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84930"/>
    <w:pPr>
      <w:spacing w:before="140"/>
    </w:pPr>
  </w:style>
  <w:style w:type="paragraph" w:customStyle="1" w:styleId="letter-reference">
    <w:name w:val="letter-reference"/>
    <w:basedOn w:val="Normal"/>
    <w:qFormat/>
    <w:rsid w:val="00E84930"/>
    <w:pPr>
      <w:spacing w:before="460"/>
    </w:pPr>
  </w:style>
  <w:style w:type="paragraph" w:customStyle="1" w:styleId="letter-salutation">
    <w:name w:val="letter-salutation"/>
    <w:basedOn w:val="Normal"/>
    <w:qFormat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84930"/>
  </w:style>
  <w:style w:type="paragraph" w:customStyle="1" w:styleId="letter-signoff-email">
    <w:name w:val="letter-signoff-email"/>
    <w:basedOn w:val="Normal"/>
    <w:qFormat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84930"/>
    <w:pPr>
      <w:spacing w:before="1000"/>
    </w:pPr>
  </w:style>
  <w:style w:type="paragraph" w:customStyle="1" w:styleId="letter-subject-line">
    <w:name w:val="letter-subject-line"/>
    <w:basedOn w:val="Normal"/>
    <w:qFormat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qFormat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7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2A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3501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Warburton\AppData\Roaming\Microsoft\Templates\circular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Attendees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3D-4594-ABD9-CB35561128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3D-4594-ABD9-CB35561128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03D-4594-ABD9-CB35561128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03D-4594-ABD9-CB35561128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03D-4594-ABD9-CB35561128C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03D-4594-ABD9-CB35561128C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03D-4594-ABD9-CB35561128C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03D-4594-ABD9-CB35561128CA}"/>
              </c:ext>
            </c:extLst>
          </c:dPt>
          <c:dLbls>
            <c:dLbl>
              <c:idx val="5"/>
              <c:layout>
                <c:manualLayout>
                  <c:x val="-2.8520499108734401E-2"/>
                  <c:y val="1.22324159021406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03D-4594-ABD9-CB35561128CA}"/>
                </c:ext>
              </c:extLst>
            </c:dLbl>
            <c:dLbl>
              <c:idx val="6"/>
              <c:layout>
                <c:manualLayout>
                  <c:x val="-6.8924539512774802E-2"/>
                  <c:y val="-1.22324159021406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03D-4594-ABD9-CB35561128C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Sheet1!$A$2:$A$9</c:f>
              <c:strCache>
                <c:ptCount val="8"/>
                <c:pt idx="0">
                  <c:v>Public Services</c:v>
                </c:pt>
                <c:pt idx="1">
                  <c:v>Energy </c:v>
                </c:pt>
                <c:pt idx="2">
                  <c:v>Defence</c:v>
                </c:pt>
                <c:pt idx="3">
                  <c:v>Heritage</c:v>
                </c:pt>
                <c:pt idx="4">
                  <c:v>IT &amp; Telecoms</c:v>
                </c:pt>
                <c:pt idx="5">
                  <c:v>Bectu</c:v>
                </c:pt>
                <c:pt idx="6">
                  <c:v>None</c:v>
                </c:pt>
                <c:pt idx="7">
                  <c:v>Regional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25</c:v>
                </c:pt>
                <c:pt idx="1">
                  <c:v>21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03D-4594-ABD9-CB35561128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450F-D08F-9E4B-A7F0-EB3FB1D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0</TotalTime>
  <Pages>3</Pages>
  <Words>637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Chris Warburton</dc:creator>
  <cp:keywords/>
  <dc:description/>
  <cp:lastModifiedBy>Diana Gyamfi</cp:lastModifiedBy>
  <cp:revision>3</cp:revision>
  <cp:lastPrinted>2006-01-26T18:56:00Z</cp:lastPrinted>
  <dcterms:created xsi:type="dcterms:W3CDTF">2025-07-03T16:10:00Z</dcterms:created>
  <dcterms:modified xsi:type="dcterms:W3CDTF">2025-07-03T16:10:00Z</dcterms:modified>
</cp:coreProperties>
</file>