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B982" w14:textId="77777777" w:rsidR="00762088" w:rsidRDefault="00762088" w:rsidP="00A15CB3">
      <w:pPr>
        <w:rPr>
          <w:noProof/>
        </w:rPr>
      </w:pPr>
    </w:p>
    <w:p w14:paraId="5106912F" w14:textId="77777777" w:rsidR="00762088" w:rsidRDefault="00762088" w:rsidP="00762088"/>
    <w:p w14:paraId="03FC9391" w14:textId="77777777" w:rsidR="00762088" w:rsidRDefault="00762088" w:rsidP="00762088"/>
    <w:p w14:paraId="0BB5CCD7" w14:textId="77777777" w:rsidR="00762088" w:rsidRDefault="00762088" w:rsidP="00762088"/>
    <w:p w14:paraId="587FF932" w14:textId="77777777" w:rsidR="00762088" w:rsidRDefault="00762088" w:rsidP="00762088"/>
    <w:p w14:paraId="4087C9A2" w14:textId="77777777" w:rsidR="00762088" w:rsidRDefault="00762088" w:rsidP="00762088"/>
    <w:p w14:paraId="344F16DB" w14:textId="77777777" w:rsidR="00762088" w:rsidRDefault="00762088" w:rsidP="00762088"/>
    <w:p w14:paraId="592CA294" w14:textId="77777777" w:rsidR="00762088" w:rsidRDefault="00762088" w:rsidP="00762088"/>
    <w:p w14:paraId="2065EB7F" w14:textId="77777777" w:rsidR="00762088" w:rsidRDefault="00762088" w:rsidP="00762088"/>
    <w:p w14:paraId="010837EA" w14:textId="77777777" w:rsidR="00762088" w:rsidRDefault="00762088" w:rsidP="00762088"/>
    <w:p w14:paraId="3355B824" w14:textId="77777777" w:rsidR="00762088" w:rsidRDefault="00762088" w:rsidP="00762088"/>
    <w:p w14:paraId="7A861664" w14:textId="1DB9E9AD" w:rsidR="00121A51" w:rsidRDefault="007C0601" w:rsidP="00121A51">
      <w:pPr>
        <w:pStyle w:val="Heading1"/>
        <w:shd w:val="clear" w:color="auto" w:fill="FFFFFF"/>
        <w:spacing w:before="0" w:after="0"/>
        <w:textAlignment w:val="baseline"/>
        <w:rPr>
          <w:color w:val="0B0C0C"/>
          <w:sz w:val="54"/>
          <w:szCs w:val="54"/>
        </w:rPr>
      </w:pPr>
      <w:r>
        <w:rPr>
          <w:color w:val="0B0C0C"/>
          <w:sz w:val="54"/>
          <w:szCs w:val="54"/>
        </w:rPr>
        <w:t>Work and Pensions</w:t>
      </w:r>
      <w:r w:rsidR="00F34F12">
        <w:rPr>
          <w:color w:val="0B0C0C"/>
          <w:sz w:val="54"/>
          <w:szCs w:val="54"/>
        </w:rPr>
        <w:t xml:space="preserve"> Committee: </w:t>
      </w:r>
      <w:r>
        <w:rPr>
          <w:color w:val="0B0C0C"/>
          <w:sz w:val="54"/>
          <w:szCs w:val="54"/>
        </w:rPr>
        <w:t>Defined Benefit Pension Schemes</w:t>
      </w:r>
    </w:p>
    <w:p w14:paraId="0515F374" w14:textId="77777777" w:rsidR="00762088" w:rsidRPr="00065290" w:rsidRDefault="00762088" w:rsidP="00065290">
      <w:pPr>
        <w:pStyle w:val="Headingultralarge"/>
      </w:pPr>
      <w:r w:rsidRPr="00065290">
        <w:t xml:space="preserve"> </w:t>
      </w:r>
    </w:p>
    <w:p w14:paraId="3629616A" w14:textId="77777777" w:rsidR="00762088" w:rsidRDefault="00762088" w:rsidP="00762088"/>
    <w:p w14:paraId="6C8AE2CB" w14:textId="77777777" w:rsidR="00762088" w:rsidRDefault="00762088" w:rsidP="00762088"/>
    <w:p w14:paraId="272B63EF" w14:textId="77777777" w:rsidR="00762088" w:rsidRDefault="00762088" w:rsidP="00762088"/>
    <w:p w14:paraId="46A587BD" w14:textId="1507C7DF" w:rsidR="00762088" w:rsidRDefault="00762088" w:rsidP="00131CC4">
      <w:pPr>
        <w:rPr>
          <w:sz w:val="32"/>
        </w:rPr>
      </w:pPr>
      <w:r>
        <w:rPr>
          <w:sz w:val="32"/>
        </w:rPr>
        <w:t>Submission by Prospect</w:t>
      </w:r>
    </w:p>
    <w:p w14:paraId="5755352D" w14:textId="77777777" w:rsidR="00762088" w:rsidRDefault="00762088" w:rsidP="00131CC4"/>
    <w:p w14:paraId="7AE5DF2D" w14:textId="77777777" w:rsidR="00762088" w:rsidRDefault="00762088" w:rsidP="00762088"/>
    <w:p w14:paraId="5FAFCDC3" w14:textId="77777777" w:rsidR="00762088" w:rsidRDefault="00762088" w:rsidP="00762088"/>
    <w:p w14:paraId="76759AF6" w14:textId="77777777" w:rsidR="00762088" w:rsidRDefault="00762088" w:rsidP="00762088"/>
    <w:p w14:paraId="18C6C981" w14:textId="77777777" w:rsidR="00762088" w:rsidRDefault="00762088" w:rsidP="00762088"/>
    <w:p w14:paraId="1D2D1057" w14:textId="77777777" w:rsidR="00762088" w:rsidRDefault="00762088" w:rsidP="00762088"/>
    <w:p w14:paraId="64D88F1A" w14:textId="77777777" w:rsidR="00762088" w:rsidRDefault="00762088" w:rsidP="00762088"/>
    <w:p w14:paraId="62F6CCCF" w14:textId="77777777" w:rsidR="00762088" w:rsidRDefault="00762088" w:rsidP="00762088"/>
    <w:p w14:paraId="311BFE69" w14:textId="28987860" w:rsidR="00762088" w:rsidRDefault="007C0601" w:rsidP="00762088">
      <w:pPr>
        <w:rPr>
          <w:b/>
          <w:sz w:val="24"/>
        </w:rPr>
      </w:pPr>
      <w:r>
        <w:rPr>
          <w:b/>
          <w:sz w:val="24"/>
        </w:rPr>
        <w:t>April</w:t>
      </w:r>
      <w:r w:rsidR="00121A51">
        <w:rPr>
          <w:b/>
          <w:sz w:val="24"/>
        </w:rPr>
        <w:t xml:space="preserve"> 202</w:t>
      </w:r>
      <w:r w:rsidR="00461C6A">
        <w:rPr>
          <w:b/>
          <w:sz w:val="24"/>
        </w:rPr>
        <w:t>3</w:t>
      </w:r>
    </w:p>
    <w:p w14:paraId="19FBDA7D" w14:textId="77777777" w:rsidR="00762088" w:rsidRDefault="00762088" w:rsidP="00762088">
      <w:pPr>
        <w:ind w:right="-710"/>
      </w:pPr>
    </w:p>
    <w:p w14:paraId="6DF9A6CE" w14:textId="77777777" w:rsidR="00762088" w:rsidRDefault="00762088" w:rsidP="00762088">
      <w:r>
        <w:t>www.prospect.org.uk</w:t>
      </w:r>
    </w:p>
    <w:p w14:paraId="1D810BEC" w14:textId="77777777" w:rsidR="00762088" w:rsidRDefault="00762088" w:rsidP="00762088">
      <w:pPr>
        <w:sectPr w:rsidR="00762088" w:rsidSect="00065290">
          <w:headerReference w:type="default" r:id="rId8"/>
          <w:headerReference w:type="first" r:id="rId9"/>
          <w:footerReference w:type="first" r:id="rId10"/>
          <w:pgSz w:w="11906" w:h="16838" w:code="9"/>
          <w:pgMar w:top="1134" w:right="1701" w:bottom="1134" w:left="1701" w:header="720" w:footer="794" w:gutter="0"/>
          <w:cols w:space="720"/>
          <w:titlePg/>
          <w:docGrid w:linePitch="299"/>
        </w:sectPr>
      </w:pPr>
    </w:p>
    <w:p w14:paraId="7AB3238A" w14:textId="77777777" w:rsidR="00762088" w:rsidRDefault="00762088" w:rsidP="00F11A01">
      <w:pPr>
        <w:pStyle w:val="Heading3"/>
        <w:numPr>
          <w:ilvl w:val="1"/>
          <w:numId w:val="1"/>
        </w:numPr>
        <w:spacing w:line="276" w:lineRule="auto"/>
        <w:ind w:left="0" w:firstLine="0"/>
      </w:pPr>
      <w:r>
        <w:lastRenderedPageBreak/>
        <w:t xml:space="preserve">Introduction </w:t>
      </w:r>
    </w:p>
    <w:p w14:paraId="39092139" w14:textId="768E2A4C" w:rsidR="00AD218B" w:rsidRDefault="00CB543F" w:rsidP="0081497E">
      <w:pPr>
        <w:pStyle w:val="ListParagraph"/>
        <w:numPr>
          <w:ilvl w:val="0"/>
          <w:numId w:val="10"/>
        </w:numPr>
        <w:spacing w:line="276" w:lineRule="auto"/>
      </w:pPr>
      <w:r>
        <w:t xml:space="preserve">Prospect is a trade union </w:t>
      </w:r>
      <w:r w:rsidR="00FB475F">
        <w:t>representing</w:t>
      </w:r>
      <w:r>
        <w:t xml:space="preserve"> </w:t>
      </w:r>
      <w:r w:rsidR="00F34F12">
        <w:t>over 15</w:t>
      </w:r>
      <w:r w:rsidR="007C0601">
        <w:t>5</w:t>
      </w:r>
      <w:r w:rsidR="00F34F12">
        <w:t xml:space="preserve">,000 </w:t>
      </w:r>
      <w:r w:rsidR="00461C6A">
        <w:t>employees and freelancers across the public and private sectors</w:t>
      </w:r>
      <w:r>
        <w:t>.</w:t>
      </w:r>
      <w:r w:rsidR="00461C6A">
        <w:t xml:space="preserve"> </w:t>
      </w:r>
      <w:r>
        <w:t xml:space="preserve"> </w:t>
      </w:r>
    </w:p>
    <w:p w14:paraId="4EA30F40" w14:textId="77777777" w:rsidR="00461C6A" w:rsidRDefault="00461C6A" w:rsidP="00461C6A">
      <w:pPr>
        <w:pStyle w:val="ListParagraph"/>
        <w:spacing w:line="276" w:lineRule="auto"/>
      </w:pPr>
    </w:p>
    <w:p w14:paraId="3E054E2E" w14:textId="2C487FCE" w:rsidR="007C0601" w:rsidRDefault="007C0601" w:rsidP="0081497E">
      <w:pPr>
        <w:pStyle w:val="ListParagraph"/>
        <w:numPr>
          <w:ilvl w:val="0"/>
          <w:numId w:val="10"/>
        </w:numPr>
        <w:spacing w:line="276" w:lineRule="auto"/>
      </w:pPr>
      <w:r>
        <w:t>Our evidence to the Committee’s current inquiry into defined benefit pension schemes is focussed on the questions in the call for evidence about the funding of the Pension Protection Fund (PPF) and compensation payable to PPF members.</w:t>
      </w:r>
    </w:p>
    <w:p w14:paraId="5A3177C0" w14:textId="77777777" w:rsidR="001B617C" w:rsidRDefault="001B617C" w:rsidP="001B617C">
      <w:pPr>
        <w:pStyle w:val="ListParagraph"/>
      </w:pPr>
    </w:p>
    <w:p w14:paraId="53FDBA4A" w14:textId="2D2527E0" w:rsidR="001B617C" w:rsidRDefault="00724607" w:rsidP="0081497E">
      <w:pPr>
        <w:pStyle w:val="ListParagraph"/>
        <w:numPr>
          <w:ilvl w:val="0"/>
          <w:numId w:val="10"/>
        </w:numPr>
        <w:spacing w:line="276" w:lineRule="auto"/>
      </w:pPr>
      <w:r>
        <w:t>These issues are particularly important to Prospect because many of our members are currently receiving compensation from the PPF or will do so in the future</w:t>
      </w:r>
      <w:r w:rsidR="001B617C">
        <w:t xml:space="preserve">. </w:t>
      </w:r>
    </w:p>
    <w:p w14:paraId="47E092FB" w14:textId="77777777" w:rsidR="001B617C" w:rsidRDefault="001B617C" w:rsidP="001B617C">
      <w:pPr>
        <w:pStyle w:val="ListParagraph"/>
      </w:pPr>
    </w:p>
    <w:p w14:paraId="669993AB" w14:textId="26D35BFE" w:rsidR="0095745F" w:rsidRDefault="00724607" w:rsidP="0081497E">
      <w:pPr>
        <w:pStyle w:val="ListParagraph"/>
        <w:numPr>
          <w:ilvl w:val="0"/>
          <w:numId w:val="10"/>
        </w:numPr>
        <w:spacing w:line="276" w:lineRule="auto"/>
      </w:pPr>
      <w:r>
        <w:t xml:space="preserve">While we welcome the introduction of the </w:t>
      </w:r>
      <w:r w:rsidR="005E69EF">
        <w:t>PPF and</w:t>
      </w:r>
      <w:r>
        <w:t xml:space="preserve"> acknowledge that it generally leads to better outcomes for scheme members</w:t>
      </w:r>
      <w:r w:rsidR="0095745F">
        <w:t xml:space="preserve"> in the event of the insolvency of sponsoring employers, we believe it is time to review </w:t>
      </w:r>
      <w:r w:rsidR="006C4896">
        <w:t xml:space="preserve">the compensation </w:t>
      </w:r>
      <w:r w:rsidR="009608ED">
        <w:t>it provides</w:t>
      </w:r>
      <w:r w:rsidR="0095745F">
        <w:t>.</w:t>
      </w:r>
    </w:p>
    <w:p w14:paraId="1920675F" w14:textId="7DD0E77B" w:rsidR="00A91EB2" w:rsidRDefault="00A91EB2" w:rsidP="00A91EB2">
      <w:pPr>
        <w:pStyle w:val="Heading3"/>
      </w:pPr>
      <w:r>
        <w:t>Summary</w:t>
      </w:r>
    </w:p>
    <w:p w14:paraId="648896F3" w14:textId="3DCC90CC" w:rsidR="00AC2BD0" w:rsidRDefault="009250D1" w:rsidP="0081497E">
      <w:pPr>
        <w:pStyle w:val="ListParagraph"/>
        <w:numPr>
          <w:ilvl w:val="0"/>
          <w:numId w:val="10"/>
        </w:numPr>
        <w:spacing w:line="276" w:lineRule="auto"/>
      </w:pPr>
      <w:r>
        <w:t>The funding position of the PPF is very strong</w:t>
      </w:r>
      <w:r w:rsidR="008F662D">
        <w:t>,</w:t>
      </w:r>
      <w:r w:rsidR="00E73413">
        <w:t xml:space="preserve"> thanks to excellent investment performance and reduced risk of claims.</w:t>
      </w:r>
      <w:r>
        <w:t xml:space="preserve"> </w:t>
      </w:r>
      <w:r w:rsidR="00AC2BD0">
        <w:t>As a result, t</w:t>
      </w:r>
      <w:r w:rsidR="00E73413">
        <w:t xml:space="preserve">he PPF levy </w:t>
      </w:r>
      <w:r w:rsidR="00AC2BD0">
        <w:t>has been</w:t>
      </w:r>
      <w:r w:rsidR="00E73413">
        <w:t xml:space="preserve"> reduced </w:t>
      </w:r>
      <w:r w:rsidR="00AC2BD0">
        <w:t xml:space="preserve">and there are plans to reduce it further. </w:t>
      </w:r>
      <w:r>
        <w:t>PPF members have not shared the benefits of th</w:t>
      </w:r>
      <w:r w:rsidR="00BC490A">
        <w:t>e</w:t>
      </w:r>
      <w:r>
        <w:t xml:space="preserve"> improved funding position.</w:t>
      </w:r>
      <w:r w:rsidR="00AC2BD0">
        <w:t xml:space="preserve"> This should be rectified as soon as possible. This will require legislation becau</w:t>
      </w:r>
      <w:r w:rsidR="008F662D">
        <w:t xml:space="preserve">se the Board of the PPF has limited </w:t>
      </w:r>
      <w:r w:rsidR="00BC490A">
        <w:t>ability to pay</w:t>
      </w:r>
      <w:r w:rsidR="008F662D">
        <w:t xml:space="preserve"> compensation in excess of the levels </w:t>
      </w:r>
      <w:r w:rsidR="00BC490A">
        <w:t>set in</w:t>
      </w:r>
      <w:r w:rsidR="008F662D">
        <w:t xml:space="preserve"> the Pensions Act 2004.</w:t>
      </w:r>
    </w:p>
    <w:p w14:paraId="323E8204" w14:textId="07959450" w:rsidR="008F662D" w:rsidRDefault="008F662D" w:rsidP="008F662D">
      <w:pPr>
        <w:pStyle w:val="ListParagraph"/>
        <w:spacing w:line="276" w:lineRule="auto"/>
      </w:pPr>
    </w:p>
    <w:p w14:paraId="1595A69A" w14:textId="73B65D04" w:rsidR="008F662D" w:rsidRDefault="008F662D" w:rsidP="0081497E">
      <w:pPr>
        <w:pStyle w:val="ListParagraph"/>
        <w:numPr>
          <w:ilvl w:val="0"/>
          <w:numId w:val="10"/>
        </w:numPr>
        <w:spacing w:line="276" w:lineRule="auto"/>
      </w:pPr>
      <w:r>
        <w:t xml:space="preserve">Parliament </w:t>
      </w:r>
      <w:r w:rsidR="00A44809">
        <w:t>must</w:t>
      </w:r>
      <w:r>
        <w:t xml:space="preserve"> consider what legislation may be needed to address any future “surplus” in the PPF and to ensure that the interests of members and their dependents are </w:t>
      </w:r>
      <w:r w:rsidR="009608ED">
        <w:t xml:space="preserve">properly </w:t>
      </w:r>
      <w:r>
        <w:t>represented in any deliberations.</w:t>
      </w:r>
    </w:p>
    <w:p w14:paraId="29251EA4" w14:textId="77777777" w:rsidR="008F662D" w:rsidRDefault="008F662D" w:rsidP="008F662D">
      <w:pPr>
        <w:pStyle w:val="ListParagraph"/>
      </w:pPr>
    </w:p>
    <w:p w14:paraId="2F8E35E2" w14:textId="01994185" w:rsidR="005E69EF" w:rsidRDefault="008F662D" w:rsidP="0081497E">
      <w:pPr>
        <w:pStyle w:val="ListParagraph"/>
        <w:numPr>
          <w:ilvl w:val="0"/>
          <w:numId w:val="10"/>
        </w:numPr>
        <w:spacing w:line="276" w:lineRule="auto"/>
      </w:pPr>
      <w:r>
        <w:t xml:space="preserve">The </w:t>
      </w:r>
      <w:r w:rsidR="005E69EF">
        <w:t>lack of increases for compensation in respect of “pre-1997” service is devastating for members, particularly during the current cost of living crisis, and</w:t>
      </w:r>
      <w:r w:rsidR="00690ECB">
        <w:t xml:space="preserve"> </w:t>
      </w:r>
      <w:r w:rsidR="005E69EF">
        <w:t>discriminates against women and older members. The Committee should recommend that government legislates to get rid of the arbitrary difference in treatment for compensation in re</w:t>
      </w:r>
      <w:r w:rsidR="00690ECB">
        <w:t>spect of</w:t>
      </w:r>
      <w:r w:rsidR="005E69EF">
        <w:t xml:space="preserve"> “pre-1997” and “post-1997” service.</w:t>
      </w:r>
    </w:p>
    <w:p w14:paraId="7DB5E18F" w14:textId="77777777" w:rsidR="005E69EF" w:rsidRDefault="005E69EF" w:rsidP="005E69EF">
      <w:pPr>
        <w:pStyle w:val="ListParagraph"/>
      </w:pPr>
    </w:p>
    <w:p w14:paraId="18EE9A4D" w14:textId="77777777" w:rsidR="005E69EF" w:rsidRDefault="005E69EF" w:rsidP="0081497E">
      <w:pPr>
        <w:pStyle w:val="ListParagraph"/>
        <w:numPr>
          <w:ilvl w:val="0"/>
          <w:numId w:val="10"/>
        </w:numPr>
        <w:spacing w:line="276" w:lineRule="auto"/>
      </w:pPr>
      <w:r>
        <w:t>The Committee should ask representatives of the Board of the PPF about its policies in respect of the discretion it has under the Pensions Act 2004 to increase compensation by more than the cap of 2.5%.</w:t>
      </w:r>
    </w:p>
    <w:p w14:paraId="14A23D2A" w14:textId="77777777" w:rsidR="005E69EF" w:rsidRDefault="005E69EF" w:rsidP="005E69EF">
      <w:pPr>
        <w:pStyle w:val="ListParagraph"/>
      </w:pPr>
    </w:p>
    <w:p w14:paraId="3BF9E8D9" w14:textId="6CA41D00" w:rsidR="008F662D" w:rsidRDefault="005E69EF" w:rsidP="0081497E">
      <w:pPr>
        <w:pStyle w:val="ListParagraph"/>
        <w:numPr>
          <w:ilvl w:val="0"/>
          <w:numId w:val="10"/>
        </w:numPr>
        <w:spacing w:line="276" w:lineRule="auto"/>
      </w:pPr>
      <w:r>
        <w:t xml:space="preserve">The Committee should recommend that government retain the minimum levels of protection of benefits payable by the PPF under the Hampshire and Bauer judgments from the CJEU.  </w:t>
      </w:r>
      <w:r w:rsidR="008F662D">
        <w:t xml:space="preserve">  </w:t>
      </w:r>
    </w:p>
    <w:p w14:paraId="57C190F8" w14:textId="3AF1AD0D" w:rsidR="00CB543F" w:rsidRDefault="00D75F19" w:rsidP="00AC2BD0">
      <w:pPr>
        <w:pStyle w:val="ListParagraph"/>
        <w:spacing w:line="276" w:lineRule="auto"/>
      </w:pPr>
      <w:r>
        <w:t xml:space="preserve"> </w:t>
      </w:r>
      <w:r w:rsidR="009250D1">
        <w:t xml:space="preserve">   </w:t>
      </w:r>
      <w:r w:rsidR="00A91EB2">
        <w:t xml:space="preserve"> </w:t>
      </w:r>
      <w:r w:rsidR="00AF7980">
        <w:t xml:space="preserve"> </w:t>
      </w:r>
      <w:r w:rsidR="001B617C">
        <w:t xml:space="preserve"> </w:t>
      </w:r>
    </w:p>
    <w:p w14:paraId="37E351FC" w14:textId="77777777" w:rsidR="00121A51" w:rsidRDefault="000F61BB" w:rsidP="00F11A01">
      <w:pPr>
        <w:pStyle w:val="Heading3"/>
        <w:spacing w:line="276" w:lineRule="auto"/>
      </w:pPr>
      <w:bookmarkStart w:id="0" w:name="_Hlk128507505"/>
      <w:r>
        <w:t>Background</w:t>
      </w:r>
      <w:bookmarkEnd w:id="0"/>
    </w:p>
    <w:p w14:paraId="57934C9A" w14:textId="5C44AC49" w:rsidR="00E567AE" w:rsidRDefault="00E567AE" w:rsidP="0081497E">
      <w:pPr>
        <w:pStyle w:val="ListParagraph"/>
        <w:numPr>
          <w:ilvl w:val="0"/>
          <w:numId w:val="10"/>
        </w:numPr>
        <w:spacing w:line="276" w:lineRule="auto"/>
      </w:pPr>
      <w:r>
        <w:t xml:space="preserve">The PPF was established by the Pensions Act 2004 </w:t>
      </w:r>
      <w:r w:rsidRPr="00E567AE">
        <w:t xml:space="preserve">to act as a lifeboat for members of defined benefit pension schemes that </w:t>
      </w:r>
      <w:r>
        <w:t>were</w:t>
      </w:r>
      <w:r w:rsidRPr="00E567AE">
        <w:t xml:space="preserve"> sponsored by employers who bec</w:t>
      </w:r>
      <w:r>
        <w:t>a</w:t>
      </w:r>
      <w:r w:rsidRPr="00E567AE">
        <w:t xml:space="preserve">me insolvent and where there </w:t>
      </w:r>
      <w:r>
        <w:t>we</w:t>
      </w:r>
      <w:r w:rsidRPr="00E567AE">
        <w:t>re insufficient assets in the pension fund to cover a protected level of benefits.</w:t>
      </w:r>
    </w:p>
    <w:p w14:paraId="56ABD3EB" w14:textId="77777777" w:rsidR="00E567AE" w:rsidRDefault="00E567AE" w:rsidP="00E567AE">
      <w:pPr>
        <w:pStyle w:val="ListParagraph"/>
        <w:spacing w:line="276" w:lineRule="auto"/>
      </w:pPr>
    </w:p>
    <w:p w14:paraId="0267789C" w14:textId="7EDC86EB" w:rsidR="00DF364B" w:rsidRDefault="00E567AE" w:rsidP="0081497E">
      <w:pPr>
        <w:pStyle w:val="ListParagraph"/>
        <w:numPr>
          <w:ilvl w:val="0"/>
          <w:numId w:val="10"/>
        </w:numPr>
        <w:spacing w:line="276" w:lineRule="auto"/>
      </w:pPr>
      <w:r>
        <w:t>It is funded from several sources. Pension schemes eligible for PPF protection pay pension protection lev</w:t>
      </w:r>
      <w:r w:rsidR="00BC490A">
        <w:t>ies</w:t>
      </w:r>
      <w:r w:rsidR="00DF364B">
        <w:t>.</w:t>
      </w:r>
    </w:p>
    <w:p w14:paraId="568AAE8B" w14:textId="77777777" w:rsidR="00DF364B" w:rsidRDefault="00DF364B" w:rsidP="00DF364B">
      <w:pPr>
        <w:pStyle w:val="ListParagraph"/>
      </w:pPr>
    </w:p>
    <w:p w14:paraId="67642F8E" w14:textId="5D2C12DD" w:rsidR="00DF364B" w:rsidRDefault="00DF364B" w:rsidP="0081497E">
      <w:pPr>
        <w:pStyle w:val="ListParagraph"/>
        <w:numPr>
          <w:ilvl w:val="0"/>
          <w:numId w:val="10"/>
        </w:numPr>
        <w:spacing w:line="276" w:lineRule="auto"/>
      </w:pPr>
      <w:r w:rsidRPr="00DF364B">
        <w:t>The PPF also takes on the assets of any pension scheme that is transferred into it</w:t>
      </w:r>
      <w:r>
        <w:t xml:space="preserve"> and </w:t>
      </w:r>
      <w:r w:rsidRPr="00DF364B">
        <w:t>can seek to recover money or other assets from any insolvent employer that sponsored a scheme that has been transferred into it.</w:t>
      </w:r>
    </w:p>
    <w:p w14:paraId="0981419E" w14:textId="77777777" w:rsidR="00DF364B" w:rsidRDefault="00DF364B" w:rsidP="00DF364B">
      <w:pPr>
        <w:pStyle w:val="ListParagraph"/>
      </w:pPr>
    </w:p>
    <w:p w14:paraId="674980CE" w14:textId="77777777" w:rsidR="00DF364B" w:rsidRDefault="00DF364B" w:rsidP="0081497E">
      <w:pPr>
        <w:pStyle w:val="ListParagraph"/>
        <w:numPr>
          <w:ilvl w:val="0"/>
          <w:numId w:val="10"/>
        </w:numPr>
        <w:spacing w:line="276" w:lineRule="auto"/>
      </w:pPr>
      <w:r>
        <w:t>Investment income is another significant source of income for the PPF.</w:t>
      </w:r>
    </w:p>
    <w:p w14:paraId="09DF41AC" w14:textId="77777777" w:rsidR="00DF364B" w:rsidRDefault="00DF364B" w:rsidP="00DF364B">
      <w:pPr>
        <w:pStyle w:val="ListParagraph"/>
      </w:pPr>
    </w:p>
    <w:p w14:paraId="68908B03" w14:textId="7EF21000" w:rsidR="00DF364B" w:rsidRDefault="00DF364B" w:rsidP="0081497E">
      <w:pPr>
        <w:pStyle w:val="ListParagraph"/>
        <w:numPr>
          <w:ilvl w:val="0"/>
          <w:numId w:val="10"/>
        </w:numPr>
        <w:spacing w:line="276" w:lineRule="auto"/>
      </w:pPr>
      <w:r>
        <w:t xml:space="preserve">The PPF does not cover the value of </w:t>
      </w:r>
      <w:r w:rsidR="006557C4">
        <w:t xml:space="preserve">all the </w:t>
      </w:r>
      <w:r>
        <w:t>benefits built up in the defined benefit scheme. The value of benefits covered has changed over time.</w:t>
      </w:r>
    </w:p>
    <w:p w14:paraId="0C31DEF7" w14:textId="77777777" w:rsidR="00DF364B" w:rsidRDefault="00DF364B" w:rsidP="00DF364B">
      <w:pPr>
        <w:pStyle w:val="ListParagraph"/>
      </w:pPr>
    </w:p>
    <w:p w14:paraId="26CD0CDC" w14:textId="0299D51C" w:rsidR="000F61BB" w:rsidRDefault="00DF364B" w:rsidP="0081497E">
      <w:pPr>
        <w:pStyle w:val="ListParagraph"/>
        <w:numPr>
          <w:ilvl w:val="0"/>
          <w:numId w:val="10"/>
        </w:numPr>
        <w:spacing w:line="276" w:lineRule="auto"/>
      </w:pPr>
      <w:r>
        <w:t xml:space="preserve">Scheme </w:t>
      </w:r>
      <w:r w:rsidR="002817AE">
        <w:t>m</w:t>
      </w:r>
      <w:r w:rsidRPr="00DF364B">
        <w:t>embers over Normal Pension Age</w:t>
      </w:r>
      <w:r w:rsidR="002817AE">
        <w:t>,</w:t>
      </w:r>
      <w:r w:rsidRPr="00DF364B">
        <w:t xml:space="preserve"> or who are already in receipt of a survivor or ill-health pensio</w:t>
      </w:r>
      <w:r w:rsidR="002817AE">
        <w:t>n, generally</w:t>
      </w:r>
      <w:r w:rsidRPr="00DF364B">
        <w:t xml:space="preserve"> receive 100% of the benefit under the scheme’s admissible rules.</w:t>
      </w:r>
    </w:p>
    <w:p w14:paraId="41375B09" w14:textId="77777777" w:rsidR="002817AE" w:rsidRDefault="002817AE" w:rsidP="002817AE">
      <w:pPr>
        <w:pStyle w:val="ListParagraph"/>
      </w:pPr>
    </w:p>
    <w:p w14:paraId="7CB1848F" w14:textId="7A83CDE3" w:rsidR="002817AE" w:rsidRDefault="002817AE" w:rsidP="0081497E">
      <w:pPr>
        <w:pStyle w:val="ListParagraph"/>
        <w:numPr>
          <w:ilvl w:val="0"/>
          <w:numId w:val="10"/>
        </w:numPr>
        <w:spacing w:line="276" w:lineRule="auto"/>
      </w:pPr>
      <w:r w:rsidRPr="002817AE">
        <w:t xml:space="preserve">Members under Normal Pension Age, including those already receiving pension, are </w:t>
      </w:r>
      <w:r>
        <w:t xml:space="preserve">generally </w:t>
      </w:r>
      <w:r w:rsidRPr="002817AE">
        <w:t>entitled to 90% of the level of accrued benefit under the admissible rules.</w:t>
      </w:r>
    </w:p>
    <w:p w14:paraId="0EAC9696" w14:textId="77777777" w:rsidR="002817AE" w:rsidRDefault="002817AE" w:rsidP="002817AE">
      <w:pPr>
        <w:pStyle w:val="ListParagraph"/>
      </w:pPr>
    </w:p>
    <w:p w14:paraId="1E4281A3" w14:textId="4EC1A7CF" w:rsidR="006557C4" w:rsidRDefault="002A277F" w:rsidP="006557C4">
      <w:pPr>
        <w:pStyle w:val="ListParagraph"/>
        <w:numPr>
          <w:ilvl w:val="0"/>
          <w:numId w:val="10"/>
        </w:numPr>
        <w:spacing w:line="276" w:lineRule="auto"/>
      </w:pPr>
      <w:r>
        <w:t>Initially members who were subject to the 90% restriction also had an overall compensation cap applied.</w:t>
      </w:r>
      <w:r w:rsidR="00B5466C">
        <w:t xml:space="preserve"> From 6 April 2017, the compensation cap was </w:t>
      </w:r>
      <w:r w:rsidR="00B5466C" w:rsidRPr="00B5466C">
        <w:t>increased by 3% for every year of service</w:t>
      </w:r>
      <w:r w:rsidR="00B5466C">
        <w:t xml:space="preserve"> in the scheme</w:t>
      </w:r>
      <w:r w:rsidR="00B5466C" w:rsidRPr="00B5466C">
        <w:t xml:space="preserve"> in excess of 20 years up to a maximum of twice the standard cap</w:t>
      </w:r>
      <w:r w:rsidR="00B5466C">
        <w:t>. In July 2021</w:t>
      </w:r>
      <w:r w:rsidR="008B5403">
        <w:t>,</w:t>
      </w:r>
      <w:r w:rsidR="00B5466C">
        <w:t xml:space="preserve"> the Court of Appeal ruled </w:t>
      </w:r>
      <w:r w:rsidR="008B5403">
        <w:t xml:space="preserve">that </w:t>
      </w:r>
      <w:r w:rsidR="00B5466C">
        <w:t xml:space="preserve">the compensation cap was unlawful on the grounds of age discrimination (in </w:t>
      </w:r>
      <w:r w:rsidR="00EE3388">
        <w:t>‘</w:t>
      </w:r>
      <w:r w:rsidR="00B5466C">
        <w:t>Hampshire V the Board of the PPF</w:t>
      </w:r>
      <w:r w:rsidR="00EE3388">
        <w:t>’</w:t>
      </w:r>
      <w:r w:rsidR="008B5403">
        <w:rPr>
          <w:rStyle w:val="FootnoteReference"/>
        </w:rPr>
        <w:footnoteReference w:id="1"/>
      </w:r>
      <w:r w:rsidR="008B5403">
        <w:t>) and it was subsequently disapplied.</w:t>
      </w:r>
    </w:p>
    <w:p w14:paraId="764DB5C0" w14:textId="77777777" w:rsidR="006557C4" w:rsidRDefault="006557C4" w:rsidP="006557C4">
      <w:pPr>
        <w:pStyle w:val="ListParagraph"/>
        <w:spacing w:line="276" w:lineRule="auto"/>
      </w:pPr>
    </w:p>
    <w:p w14:paraId="68E50951" w14:textId="77777777" w:rsidR="00EE3388" w:rsidRDefault="00EE3388" w:rsidP="0081497E">
      <w:pPr>
        <w:pStyle w:val="ListParagraph"/>
        <w:numPr>
          <w:ilvl w:val="0"/>
          <w:numId w:val="10"/>
        </w:numPr>
        <w:spacing w:line="276" w:lineRule="auto"/>
      </w:pPr>
      <w:r>
        <w:t>C</w:t>
      </w:r>
      <w:r w:rsidR="00FE40DA">
        <w:t xml:space="preserve">ompensation in </w:t>
      </w:r>
      <w:r>
        <w:t>relation to pensionable service from 6 April 1997 is increased in line with inflation (as measured by the Consumer Prices Index) subject to a maximum of 2.5%. Compensation in relation to pensionable service before 6 April 1997 does not attract any increase. Increases are applied on 1 January each year (based on the increase in the CPI in the 12 months to the previous May).</w:t>
      </w:r>
    </w:p>
    <w:p w14:paraId="35A36602" w14:textId="77777777" w:rsidR="00EE3388" w:rsidRDefault="00EE3388" w:rsidP="00EE3388">
      <w:pPr>
        <w:pStyle w:val="ListParagraph"/>
      </w:pPr>
    </w:p>
    <w:p w14:paraId="33C697EF" w14:textId="77777777" w:rsidR="003F68B9" w:rsidRDefault="00EE3388" w:rsidP="0081497E">
      <w:pPr>
        <w:pStyle w:val="ListParagraph"/>
        <w:numPr>
          <w:ilvl w:val="0"/>
          <w:numId w:val="10"/>
        </w:numPr>
        <w:spacing w:line="276" w:lineRule="auto"/>
      </w:pPr>
      <w:r>
        <w:t>In its ruling in ‘Hampshire V the Board of the PPF’</w:t>
      </w:r>
      <w:r w:rsidR="003F68B9">
        <w:rPr>
          <w:rStyle w:val="FootnoteReference"/>
        </w:rPr>
        <w:footnoteReference w:id="2"/>
      </w:r>
      <w:r>
        <w:t>, the CJEU</w:t>
      </w:r>
      <w:r w:rsidR="003F68B9">
        <w:t xml:space="preserve"> clarified that the requirement in EU law </w:t>
      </w:r>
      <w:r w:rsidR="003F68B9" w:rsidRPr="003F68B9">
        <w:t>had to be interpreted to mean that every individual employee must receive old-age benefits corresponding to at least 50% of the value of their accrued entitlement under a supplementary occupational pension scheme in the event of their employer’s insolvency</w:t>
      </w:r>
      <w:r w:rsidR="003F68B9">
        <w:t>.</w:t>
      </w:r>
    </w:p>
    <w:p w14:paraId="64BF75C7" w14:textId="77777777" w:rsidR="003F68B9" w:rsidRDefault="003F68B9" w:rsidP="003F68B9">
      <w:pPr>
        <w:pStyle w:val="ListParagraph"/>
      </w:pPr>
    </w:p>
    <w:p w14:paraId="4062B0ED" w14:textId="77777777" w:rsidR="00E8361E" w:rsidRDefault="003F68B9" w:rsidP="0081497E">
      <w:pPr>
        <w:pStyle w:val="ListParagraph"/>
        <w:numPr>
          <w:ilvl w:val="0"/>
          <w:numId w:val="10"/>
        </w:numPr>
        <w:spacing w:line="276" w:lineRule="auto"/>
      </w:pPr>
      <w:r>
        <w:t>In the Bauer case</w:t>
      </w:r>
      <w:r>
        <w:rPr>
          <w:rStyle w:val="FootnoteReference"/>
        </w:rPr>
        <w:footnoteReference w:id="3"/>
      </w:r>
      <w:r>
        <w:t xml:space="preserve"> the CJEU went further, r</w:t>
      </w:r>
      <w:r w:rsidRPr="003F68B9">
        <w:t>uling that that even where members are receiving 50% of their accrued rights, a reduction to those rights is ‘manifestly unjust’ where it would cause the member to live below the at-risk-of-poverty threshold (as determined by the EU statistical office, Eurostat)</w:t>
      </w:r>
      <w:r>
        <w:t>.</w:t>
      </w:r>
    </w:p>
    <w:p w14:paraId="252A4F70" w14:textId="77777777" w:rsidR="00E8361E" w:rsidRDefault="00E8361E" w:rsidP="00E8361E">
      <w:pPr>
        <w:pStyle w:val="ListParagraph"/>
      </w:pPr>
    </w:p>
    <w:p w14:paraId="35654116" w14:textId="39B00004" w:rsidR="000F61BB" w:rsidRDefault="006557C4" w:rsidP="0081497E">
      <w:pPr>
        <w:pStyle w:val="ListParagraph"/>
        <w:numPr>
          <w:ilvl w:val="0"/>
          <w:numId w:val="10"/>
        </w:numPr>
        <w:spacing w:line="276" w:lineRule="auto"/>
      </w:pPr>
      <w:r>
        <w:t>T</w:t>
      </w:r>
      <w:r w:rsidR="00E8361E">
        <w:t>he CJEU rulings in Hampshire and Bauer are retained EU law.</w:t>
      </w:r>
      <w:r>
        <w:t xml:space="preserve"> </w:t>
      </w:r>
      <w:r w:rsidRPr="006557C4">
        <w:t>Under the Retained EU Law (Revocation and Reform) Bill the effect of the</w:t>
      </w:r>
      <w:r>
        <w:t>se</w:t>
      </w:r>
      <w:r w:rsidRPr="006557C4">
        <w:t xml:space="preserve"> judgment is expected to be revoked because </w:t>
      </w:r>
      <w:r>
        <w:t>they</w:t>
      </w:r>
      <w:r w:rsidRPr="006557C4">
        <w:t xml:space="preserve"> conflict with government polic</w:t>
      </w:r>
      <w:r>
        <w:t>y</w:t>
      </w:r>
      <w:r w:rsidRPr="006557C4">
        <w:t>.</w:t>
      </w:r>
      <w:r w:rsidR="0077520C">
        <w:t xml:space="preserve"> </w:t>
      </w:r>
      <w:r w:rsidR="00FD500D">
        <w:t xml:space="preserve"> </w:t>
      </w:r>
      <w:r w:rsidR="009A6B22">
        <w:t xml:space="preserve">   </w:t>
      </w:r>
      <w:r w:rsidR="00445983">
        <w:t xml:space="preserve"> </w:t>
      </w:r>
      <w:r w:rsidR="004622CA">
        <w:t xml:space="preserve"> </w:t>
      </w:r>
    </w:p>
    <w:p w14:paraId="087EBEDD" w14:textId="42DEC2FE" w:rsidR="000F61BB" w:rsidRDefault="00E8361E" w:rsidP="00F11A01">
      <w:pPr>
        <w:pStyle w:val="Heading3"/>
        <w:spacing w:line="276" w:lineRule="auto"/>
      </w:pPr>
      <w:r>
        <w:lastRenderedPageBreak/>
        <w:t>Implications of improved funding levels for the PPF</w:t>
      </w:r>
    </w:p>
    <w:p w14:paraId="79AB552B" w14:textId="2DB4DED1" w:rsidR="00212E48" w:rsidRDefault="00212E48" w:rsidP="0081497E">
      <w:pPr>
        <w:pStyle w:val="ListParagraph"/>
        <w:numPr>
          <w:ilvl w:val="0"/>
          <w:numId w:val="10"/>
        </w:numPr>
        <w:spacing w:line="276" w:lineRule="auto"/>
      </w:pPr>
      <w:r>
        <w:t>According to the PPF’s latest annual report and accounts</w:t>
      </w:r>
      <w:r>
        <w:rPr>
          <w:rStyle w:val="FootnoteReference"/>
        </w:rPr>
        <w:footnoteReference w:id="4"/>
      </w:r>
      <w:r>
        <w:t>, the scheme held £39 billion in invested assets as at 31 March 20</w:t>
      </w:r>
      <w:r w:rsidR="00057643">
        <w:t>2</w:t>
      </w:r>
      <w:r>
        <w:t xml:space="preserve">2. At that point, the PPF estimated it held </w:t>
      </w:r>
      <w:r w:rsidRPr="00212E48">
        <w:t xml:space="preserve">£11.7 billion above what </w:t>
      </w:r>
      <w:r>
        <w:t>it</w:t>
      </w:r>
      <w:r w:rsidRPr="00212E48">
        <w:t xml:space="preserve"> need</w:t>
      </w:r>
      <w:r>
        <w:t>ed</w:t>
      </w:r>
      <w:r w:rsidRPr="00212E48">
        <w:t xml:space="preserve"> to pay every current member and their dependants their compensation for life</w:t>
      </w:r>
      <w:r>
        <w:t>. This represented a funding ratio of 137.9%.</w:t>
      </w:r>
    </w:p>
    <w:p w14:paraId="2073B33C" w14:textId="71EE6D86" w:rsidR="00057643" w:rsidRDefault="00057643" w:rsidP="00057643">
      <w:pPr>
        <w:pStyle w:val="ListParagraph"/>
        <w:spacing w:line="276" w:lineRule="auto"/>
      </w:pPr>
    </w:p>
    <w:p w14:paraId="4256FD56" w14:textId="0E421F6E" w:rsidR="00057643" w:rsidRDefault="00057643" w:rsidP="0081497E">
      <w:pPr>
        <w:pStyle w:val="ListParagraph"/>
        <w:numPr>
          <w:ilvl w:val="0"/>
          <w:numId w:val="10"/>
        </w:numPr>
        <w:spacing w:line="276" w:lineRule="auto"/>
      </w:pPr>
      <w:r>
        <w:t>Figures as at 31 March 2023 are not available yet, but these are likely to show an even better funding position as the discount rate applied to future payments and expenses is likely to be much higher due to movements in gilt yields</w:t>
      </w:r>
      <w:r w:rsidR="00562AB3">
        <w:t xml:space="preserve"> over the last year</w:t>
      </w:r>
      <w:r>
        <w:t>.</w:t>
      </w:r>
    </w:p>
    <w:p w14:paraId="267E4E0D" w14:textId="5EAF62EF" w:rsidR="00212E48" w:rsidRDefault="00212E48" w:rsidP="00212E48">
      <w:pPr>
        <w:pStyle w:val="ListParagraph"/>
        <w:spacing w:line="276" w:lineRule="auto"/>
      </w:pPr>
    </w:p>
    <w:p w14:paraId="70EDBBDE" w14:textId="33447CC7" w:rsidR="00D47415" w:rsidRDefault="00057643" w:rsidP="0081497E">
      <w:pPr>
        <w:pStyle w:val="ListParagraph"/>
        <w:numPr>
          <w:ilvl w:val="0"/>
          <w:numId w:val="10"/>
        </w:numPr>
        <w:spacing w:line="276" w:lineRule="auto"/>
      </w:pPr>
      <w:r>
        <w:t>T</w:t>
      </w:r>
      <w:r w:rsidR="00BE0F09">
        <w:t xml:space="preserve">he funding position of the schemes covered by the PPF </w:t>
      </w:r>
      <w:r>
        <w:t>is also very healthy</w:t>
      </w:r>
      <w:r w:rsidR="00BE0F09">
        <w:t>.</w:t>
      </w:r>
      <w:r>
        <w:t xml:space="preserve"> The latest annual report and account</w:t>
      </w:r>
      <w:r w:rsidR="00BB75A8">
        <w:t>s</w:t>
      </w:r>
      <w:r>
        <w:t xml:space="preserve"> (as at 31 March 2022)</w:t>
      </w:r>
      <w:r w:rsidR="00BB75A8">
        <w:t xml:space="preserve"> reported the total deficit of schemes eligible for the PPF that were reported to be in deficit (measured on a Section 179 basis) had fallen from £128.5 billion to £62.9 billion.</w:t>
      </w:r>
      <w:r>
        <w:t xml:space="preserve"> </w:t>
      </w:r>
      <w:r w:rsidR="00BE0F09">
        <w:t xml:space="preserve"> </w:t>
      </w:r>
      <w:r w:rsidR="00212E48">
        <w:t xml:space="preserve"> </w:t>
      </w:r>
    </w:p>
    <w:p w14:paraId="07129442" w14:textId="77777777" w:rsidR="00D47415" w:rsidRDefault="00D47415" w:rsidP="00D47415">
      <w:pPr>
        <w:pStyle w:val="ListParagraph"/>
        <w:spacing w:line="276" w:lineRule="auto"/>
      </w:pPr>
    </w:p>
    <w:p w14:paraId="3A0F05F7" w14:textId="0FD8440C" w:rsidR="006557C4" w:rsidRDefault="00D47415" w:rsidP="006557C4">
      <w:pPr>
        <w:pStyle w:val="ListParagraph"/>
        <w:numPr>
          <w:ilvl w:val="0"/>
          <w:numId w:val="10"/>
        </w:numPr>
        <w:spacing w:line="276" w:lineRule="auto"/>
      </w:pPr>
      <w:r>
        <w:t>Th</w:t>
      </w:r>
      <w:r w:rsidR="00BB75A8">
        <w:t xml:space="preserve">is trend continued through 2022-23 for the same reason that the funding position of the PPF </w:t>
      </w:r>
      <w:r w:rsidR="009250D1">
        <w:t xml:space="preserve">itself </w:t>
      </w:r>
      <w:r w:rsidR="00BB75A8">
        <w:t>is anticipated to have improved over the year (higher discount rate due to changes in gilt yields). The March 2023 PPF 7800 Index</w:t>
      </w:r>
      <w:r w:rsidR="006B7F17">
        <w:rPr>
          <w:rStyle w:val="FootnoteReference"/>
        </w:rPr>
        <w:footnoteReference w:id="5"/>
      </w:r>
      <w:r w:rsidR="00BB75A8">
        <w:t xml:space="preserve"> reported that</w:t>
      </w:r>
      <w:r w:rsidR="009250D1">
        <w:t>,</w:t>
      </w:r>
      <w:r w:rsidR="00BB75A8">
        <w:t xml:space="preserve"> at the end of February</w:t>
      </w:r>
      <w:r w:rsidR="009250D1">
        <w:t>,</w:t>
      </w:r>
      <w:r w:rsidR="00BB75A8">
        <w:t xml:space="preserve"> only 672 schemes were in deficit and that their cumulative deficit was just £4</w:t>
      </w:r>
      <w:r w:rsidR="009250D1">
        <w:t>.</w:t>
      </w:r>
      <w:r w:rsidR="00BB75A8">
        <w:t>2 billion.</w:t>
      </w:r>
    </w:p>
    <w:p w14:paraId="20D22CD7" w14:textId="77777777" w:rsidR="006557C4" w:rsidRDefault="006557C4" w:rsidP="006557C4">
      <w:pPr>
        <w:pStyle w:val="ListParagraph"/>
        <w:spacing w:line="276" w:lineRule="auto"/>
      </w:pPr>
    </w:p>
    <w:p w14:paraId="4EDCA76D" w14:textId="5CB33EEA" w:rsidR="001221D7" w:rsidRDefault="00753CDA" w:rsidP="0081497E">
      <w:pPr>
        <w:pStyle w:val="ListParagraph"/>
        <w:numPr>
          <w:ilvl w:val="0"/>
          <w:numId w:val="10"/>
        </w:numPr>
        <w:spacing w:line="276" w:lineRule="auto"/>
      </w:pPr>
      <w:r>
        <w:t>Th</w:t>
      </w:r>
      <w:r w:rsidR="001221D7">
        <w:t>e improved funding position clearly has a number of implications. In the first instance</w:t>
      </w:r>
      <w:r w:rsidR="00744C0B">
        <w:t>,</w:t>
      </w:r>
      <w:r w:rsidR="001221D7">
        <w:t xml:space="preserve"> it has enabled the PPF to significantly reduce the levy payable by eligible schemes. The table below shows the PPF levy (actuals from accounts and estimates for latest years).</w:t>
      </w:r>
    </w:p>
    <w:p w14:paraId="3A78FF08" w14:textId="77777777" w:rsidR="001221D7" w:rsidRDefault="001221D7" w:rsidP="001221D7">
      <w:pPr>
        <w:pStyle w:val="ListParagraph"/>
        <w:spacing w:line="276" w:lineRule="auto"/>
      </w:pPr>
    </w:p>
    <w:tbl>
      <w:tblPr>
        <w:tblStyle w:val="TableGrid"/>
        <w:tblW w:w="0" w:type="auto"/>
        <w:tblInd w:w="720" w:type="dxa"/>
        <w:tblLook w:val="04A0" w:firstRow="1" w:lastRow="0" w:firstColumn="1" w:lastColumn="0" w:noHBand="0" w:noVBand="1"/>
      </w:tblPr>
      <w:tblGrid>
        <w:gridCol w:w="1335"/>
        <w:gridCol w:w="1287"/>
        <w:gridCol w:w="1288"/>
        <w:gridCol w:w="1288"/>
        <w:gridCol w:w="1288"/>
        <w:gridCol w:w="1288"/>
      </w:tblGrid>
      <w:tr w:rsidR="00E73413" w14:paraId="50D50B6C" w14:textId="77777777" w:rsidTr="00E73413">
        <w:trPr>
          <w:trHeight w:val="458"/>
        </w:trPr>
        <w:tc>
          <w:tcPr>
            <w:tcW w:w="1335" w:type="dxa"/>
            <w:vAlign w:val="bottom"/>
          </w:tcPr>
          <w:p w14:paraId="40EE0AD8" w14:textId="1CF2FE77" w:rsidR="00E73413" w:rsidRDefault="00E73413" w:rsidP="00E73413">
            <w:pPr>
              <w:pStyle w:val="ListParagraph"/>
              <w:spacing w:line="276" w:lineRule="auto"/>
              <w:ind w:left="0"/>
              <w:jc w:val="center"/>
            </w:pPr>
            <w:r>
              <w:t>Year</w:t>
            </w:r>
          </w:p>
        </w:tc>
        <w:tc>
          <w:tcPr>
            <w:tcW w:w="1287" w:type="dxa"/>
            <w:vAlign w:val="bottom"/>
          </w:tcPr>
          <w:p w14:paraId="0722E720" w14:textId="2949C6DA" w:rsidR="00E73413" w:rsidRDefault="00E73413" w:rsidP="00E73413">
            <w:pPr>
              <w:pStyle w:val="ListParagraph"/>
              <w:spacing w:line="276" w:lineRule="auto"/>
              <w:ind w:left="0"/>
              <w:jc w:val="center"/>
            </w:pPr>
            <w:r>
              <w:t>2005/06</w:t>
            </w:r>
          </w:p>
        </w:tc>
        <w:tc>
          <w:tcPr>
            <w:tcW w:w="1288" w:type="dxa"/>
            <w:vAlign w:val="bottom"/>
          </w:tcPr>
          <w:p w14:paraId="61097B42" w14:textId="6188A367" w:rsidR="00E73413" w:rsidRDefault="00E73413" w:rsidP="00E73413">
            <w:pPr>
              <w:pStyle w:val="ListParagraph"/>
              <w:spacing w:line="276" w:lineRule="auto"/>
              <w:ind w:left="0"/>
              <w:jc w:val="center"/>
            </w:pPr>
            <w:r>
              <w:t>2006/07</w:t>
            </w:r>
          </w:p>
        </w:tc>
        <w:tc>
          <w:tcPr>
            <w:tcW w:w="1288" w:type="dxa"/>
            <w:vAlign w:val="bottom"/>
          </w:tcPr>
          <w:p w14:paraId="43CA7B80" w14:textId="51F1A040" w:rsidR="00E73413" w:rsidRDefault="00E73413" w:rsidP="00E73413">
            <w:pPr>
              <w:pStyle w:val="ListParagraph"/>
              <w:spacing w:line="276" w:lineRule="auto"/>
              <w:ind w:left="0"/>
              <w:jc w:val="center"/>
            </w:pPr>
            <w:r>
              <w:t>2007/08</w:t>
            </w:r>
          </w:p>
        </w:tc>
        <w:tc>
          <w:tcPr>
            <w:tcW w:w="1288" w:type="dxa"/>
            <w:vAlign w:val="bottom"/>
          </w:tcPr>
          <w:p w14:paraId="49F0C640" w14:textId="3D9D9E6D" w:rsidR="00E73413" w:rsidRDefault="00E73413" w:rsidP="00E73413">
            <w:pPr>
              <w:pStyle w:val="ListParagraph"/>
              <w:spacing w:line="276" w:lineRule="auto"/>
              <w:ind w:left="0"/>
              <w:jc w:val="center"/>
            </w:pPr>
            <w:r>
              <w:t>2008/09</w:t>
            </w:r>
          </w:p>
        </w:tc>
        <w:tc>
          <w:tcPr>
            <w:tcW w:w="1288" w:type="dxa"/>
            <w:vAlign w:val="bottom"/>
          </w:tcPr>
          <w:p w14:paraId="34F25C8B" w14:textId="62D39A01" w:rsidR="00E73413" w:rsidRDefault="00E73413" w:rsidP="00E73413">
            <w:pPr>
              <w:pStyle w:val="ListParagraph"/>
              <w:spacing w:line="276" w:lineRule="auto"/>
              <w:ind w:left="0"/>
              <w:jc w:val="center"/>
            </w:pPr>
            <w:r>
              <w:t>2009/10</w:t>
            </w:r>
          </w:p>
        </w:tc>
      </w:tr>
      <w:tr w:rsidR="00E73413" w14:paraId="565C74C3" w14:textId="77777777" w:rsidTr="00E73413">
        <w:trPr>
          <w:trHeight w:val="458"/>
        </w:trPr>
        <w:tc>
          <w:tcPr>
            <w:tcW w:w="1335" w:type="dxa"/>
            <w:vAlign w:val="bottom"/>
          </w:tcPr>
          <w:p w14:paraId="182420A7" w14:textId="4AD17849" w:rsidR="00E73413" w:rsidRDefault="00E73413" w:rsidP="00E73413">
            <w:pPr>
              <w:pStyle w:val="ListParagraph"/>
              <w:spacing w:line="276" w:lineRule="auto"/>
              <w:ind w:left="0"/>
              <w:jc w:val="center"/>
            </w:pPr>
            <w:r>
              <w:t>Levy</w:t>
            </w:r>
          </w:p>
        </w:tc>
        <w:tc>
          <w:tcPr>
            <w:tcW w:w="1287" w:type="dxa"/>
            <w:vAlign w:val="bottom"/>
          </w:tcPr>
          <w:p w14:paraId="3D056828" w14:textId="7B531649" w:rsidR="00E73413" w:rsidRDefault="00E73413" w:rsidP="00E73413">
            <w:pPr>
              <w:pStyle w:val="ListParagraph"/>
              <w:spacing w:line="276" w:lineRule="auto"/>
              <w:ind w:left="0"/>
              <w:jc w:val="center"/>
            </w:pPr>
            <w:r>
              <w:t>£138m</w:t>
            </w:r>
          </w:p>
        </w:tc>
        <w:tc>
          <w:tcPr>
            <w:tcW w:w="1288" w:type="dxa"/>
            <w:vAlign w:val="bottom"/>
          </w:tcPr>
          <w:p w14:paraId="137996EF" w14:textId="6AC81378" w:rsidR="00E73413" w:rsidRDefault="00E73413" w:rsidP="00E73413">
            <w:pPr>
              <w:pStyle w:val="ListParagraph"/>
              <w:spacing w:line="276" w:lineRule="auto"/>
              <w:ind w:left="0"/>
              <w:jc w:val="center"/>
            </w:pPr>
            <w:r>
              <w:t>£270m</w:t>
            </w:r>
          </w:p>
        </w:tc>
        <w:tc>
          <w:tcPr>
            <w:tcW w:w="1288" w:type="dxa"/>
            <w:vAlign w:val="bottom"/>
          </w:tcPr>
          <w:p w14:paraId="3A9FFE7B" w14:textId="189FCD25" w:rsidR="00E73413" w:rsidRDefault="00E73413" w:rsidP="00E73413">
            <w:pPr>
              <w:pStyle w:val="ListParagraph"/>
              <w:spacing w:line="276" w:lineRule="auto"/>
              <w:ind w:left="0"/>
              <w:jc w:val="center"/>
            </w:pPr>
            <w:r>
              <w:t>£577m</w:t>
            </w:r>
          </w:p>
        </w:tc>
        <w:tc>
          <w:tcPr>
            <w:tcW w:w="1288" w:type="dxa"/>
            <w:vAlign w:val="bottom"/>
          </w:tcPr>
          <w:p w14:paraId="26F27C3E" w14:textId="458DC34E" w:rsidR="00E73413" w:rsidRDefault="00E73413" w:rsidP="00E73413">
            <w:pPr>
              <w:pStyle w:val="ListParagraph"/>
              <w:spacing w:line="276" w:lineRule="auto"/>
              <w:ind w:left="0"/>
              <w:jc w:val="center"/>
            </w:pPr>
            <w:r>
              <w:t>£646m</w:t>
            </w:r>
          </w:p>
        </w:tc>
        <w:tc>
          <w:tcPr>
            <w:tcW w:w="1288" w:type="dxa"/>
            <w:vAlign w:val="bottom"/>
          </w:tcPr>
          <w:p w14:paraId="3F951BE8" w14:textId="6A8A7062" w:rsidR="00E73413" w:rsidRDefault="00E73413" w:rsidP="00E73413">
            <w:pPr>
              <w:pStyle w:val="ListParagraph"/>
              <w:spacing w:line="276" w:lineRule="auto"/>
              <w:ind w:left="0"/>
              <w:jc w:val="center"/>
            </w:pPr>
            <w:r>
              <w:t>£589m</w:t>
            </w:r>
          </w:p>
        </w:tc>
      </w:tr>
      <w:tr w:rsidR="00E73413" w14:paraId="523701FF" w14:textId="77777777" w:rsidTr="00E73413">
        <w:trPr>
          <w:trHeight w:val="458"/>
        </w:trPr>
        <w:tc>
          <w:tcPr>
            <w:tcW w:w="1335" w:type="dxa"/>
            <w:vAlign w:val="bottom"/>
          </w:tcPr>
          <w:p w14:paraId="33F842BE" w14:textId="6EA53C42" w:rsidR="00E73413" w:rsidRDefault="00E73413" w:rsidP="00E73413">
            <w:pPr>
              <w:pStyle w:val="ListParagraph"/>
              <w:spacing w:line="276" w:lineRule="auto"/>
              <w:ind w:left="0"/>
              <w:jc w:val="center"/>
            </w:pPr>
            <w:r>
              <w:t>Year</w:t>
            </w:r>
          </w:p>
        </w:tc>
        <w:tc>
          <w:tcPr>
            <w:tcW w:w="1287" w:type="dxa"/>
            <w:vAlign w:val="bottom"/>
          </w:tcPr>
          <w:p w14:paraId="56254E0F" w14:textId="352B529B" w:rsidR="00E73413" w:rsidRDefault="00E73413" w:rsidP="00E73413">
            <w:pPr>
              <w:pStyle w:val="ListParagraph"/>
              <w:spacing w:line="276" w:lineRule="auto"/>
              <w:ind w:left="0"/>
              <w:jc w:val="center"/>
            </w:pPr>
            <w:r>
              <w:t>2010/11</w:t>
            </w:r>
          </w:p>
        </w:tc>
        <w:tc>
          <w:tcPr>
            <w:tcW w:w="1288" w:type="dxa"/>
            <w:vAlign w:val="bottom"/>
          </w:tcPr>
          <w:p w14:paraId="703089E3" w14:textId="5A0CC9C4" w:rsidR="00E73413" w:rsidRDefault="00E73413" w:rsidP="00E73413">
            <w:pPr>
              <w:pStyle w:val="ListParagraph"/>
              <w:spacing w:line="276" w:lineRule="auto"/>
              <w:ind w:left="0"/>
              <w:jc w:val="center"/>
            </w:pPr>
            <w:r>
              <w:t>2011/12</w:t>
            </w:r>
          </w:p>
        </w:tc>
        <w:tc>
          <w:tcPr>
            <w:tcW w:w="1288" w:type="dxa"/>
            <w:vAlign w:val="bottom"/>
          </w:tcPr>
          <w:p w14:paraId="1126ADA6" w14:textId="2EF1A6F6" w:rsidR="00E73413" w:rsidRDefault="00E73413" w:rsidP="00E73413">
            <w:pPr>
              <w:pStyle w:val="ListParagraph"/>
              <w:spacing w:line="276" w:lineRule="auto"/>
              <w:ind w:left="0"/>
              <w:jc w:val="center"/>
            </w:pPr>
            <w:r>
              <w:t>2012/13</w:t>
            </w:r>
          </w:p>
        </w:tc>
        <w:tc>
          <w:tcPr>
            <w:tcW w:w="1288" w:type="dxa"/>
            <w:vAlign w:val="bottom"/>
          </w:tcPr>
          <w:p w14:paraId="13E0673D" w14:textId="079EFB8B" w:rsidR="00E73413" w:rsidRDefault="00E73413" w:rsidP="00E73413">
            <w:pPr>
              <w:pStyle w:val="ListParagraph"/>
              <w:spacing w:line="276" w:lineRule="auto"/>
              <w:ind w:left="0"/>
              <w:jc w:val="center"/>
            </w:pPr>
            <w:r>
              <w:t>2013/14</w:t>
            </w:r>
          </w:p>
        </w:tc>
        <w:tc>
          <w:tcPr>
            <w:tcW w:w="1288" w:type="dxa"/>
            <w:vAlign w:val="bottom"/>
          </w:tcPr>
          <w:p w14:paraId="22E54FE6" w14:textId="7924C49B" w:rsidR="00E73413" w:rsidRDefault="00E73413" w:rsidP="00E73413">
            <w:pPr>
              <w:pStyle w:val="ListParagraph"/>
              <w:spacing w:line="276" w:lineRule="auto"/>
              <w:ind w:left="0"/>
              <w:jc w:val="center"/>
            </w:pPr>
            <w:r>
              <w:t>2014/15</w:t>
            </w:r>
          </w:p>
        </w:tc>
      </w:tr>
      <w:tr w:rsidR="00E73413" w14:paraId="1059173B" w14:textId="77777777" w:rsidTr="00E73413">
        <w:trPr>
          <w:trHeight w:val="458"/>
        </w:trPr>
        <w:tc>
          <w:tcPr>
            <w:tcW w:w="1335" w:type="dxa"/>
            <w:vAlign w:val="bottom"/>
          </w:tcPr>
          <w:p w14:paraId="23546C81" w14:textId="68B61F57" w:rsidR="00E73413" w:rsidRDefault="00E73413" w:rsidP="00E73413">
            <w:pPr>
              <w:pStyle w:val="ListParagraph"/>
              <w:spacing w:line="276" w:lineRule="auto"/>
              <w:ind w:left="0"/>
              <w:jc w:val="center"/>
            </w:pPr>
            <w:r>
              <w:t>Levy</w:t>
            </w:r>
          </w:p>
        </w:tc>
        <w:tc>
          <w:tcPr>
            <w:tcW w:w="1287" w:type="dxa"/>
            <w:vAlign w:val="bottom"/>
          </w:tcPr>
          <w:p w14:paraId="78D354AC" w14:textId="37A54CA7" w:rsidR="00E73413" w:rsidRDefault="00E73413" w:rsidP="00E73413">
            <w:pPr>
              <w:pStyle w:val="ListParagraph"/>
              <w:spacing w:line="276" w:lineRule="auto"/>
              <w:ind w:left="0"/>
              <w:jc w:val="center"/>
            </w:pPr>
            <w:r>
              <w:t>£691m</w:t>
            </w:r>
          </w:p>
        </w:tc>
        <w:tc>
          <w:tcPr>
            <w:tcW w:w="1288" w:type="dxa"/>
            <w:vAlign w:val="bottom"/>
          </w:tcPr>
          <w:p w14:paraId="5E643315" w14:textId="5B7A8473" w:rsidR="00E73413" w:rsidRDefault="00E73413" w:rsidP="00E73413">
            <w:pPr>
              <w:pStyle w:val="ListParagraph"/>
              <w:spacing w:line="276" w:lineRule="auto"/>
              <w:ind w:left="0"/>
              <w:jc w:val="center"/>
            </w:pPr>
            <w:r>
              <w:t>£605m</w:t>
            </w:r>
          </w:p>
        </w:tc>
        <w:tc>
          <w:tcPr>
            <w:tcW w:w="1288" w:type="dxa"/>
            <w:vAlign w:val="bottom"/>
          </w:tcPr>
          <w:p w14:paraId="45089C59" w14:textId="12976898" w:rsidR="00E73413" w:rsidRDefault="00E73413" w:rsidP="00E73413">
            <w:pPr>
              <w:pStyle w:val="ListParagraph"/>
              <w:spacing w:line="276" w:lineRule="auto"/>
              <w:ind w:left="0"/>
              <w:jc w:val="center"/>
            </w:pPr>
            <w:r>
              <w:t>£648m</w:t>
            </w:r>
          </w:p>
        </w:tc>
        <w:tc>
          <w:tcPr>
            <w:tcW w:w="1288" w:type="dxa"/>
            <w:vAlign w:val="bottom"/>
          </w:tcPr>
          <w:p w14:paraId="7662D580" w14:textId="5594537A" w:rsidR="00E73413" w:rsidRDefault="00E73413" w:rsidP="00E73413">
            <w:pPr>
              <w:pStyle w:val="ListParagraph"/>
              <w:spacing w:line="276" w:lineRule="auto"/>
              <w:ind w:left="0"/>
              <w:jc w:val="center"/>
            </w:pPr>
            <w:r>
              <w:t>£577m</w:t>
            </w:r>
          </w:p>
        </w:tc>
        <w:tc>
          <w:tcPr>
            <w:tcW w:w="1288" w:type="dxa"/>
            <w:vAlign w:val="bottom"/>
          </w:tcPr>
          <w:p w14:paraId="48A5812B" w14:textId="36535B5E" w:rsidR="00E73413" w:rsidRDefault="00E73413" w:rsidP="00E73413">
            <w:pPr>
              <w:pStyle w:val="ListParagraph"/>
              <w:spacing w:line="276" w:lineRule="auto"/>
              <w:ind w:left="0"/>
              <w:jc w:val="center"/>
            </w:pPr>
            <w:r>
              <w:t>£574m</w:t>
            </w:r>
          </w:p>
        </w:tc>
      </w:tr>
      <w:tr w:rsidR="00E73413" w14:paraId="65A78CC5" w14:textId="77777777" w:rsidTr="00E73413">
        <w:trPr>
          <w:trHeight w:val="458"/>
        </w:trPr>
        <w:tc>
          <w:tcPr>
            <w:tcW w:w="1335" w:type="dxa"/>
            <w:vAlign w:val="bottom"/>
          </w:tcPr>
          <w:p w14:paraId="44DCE649" w14:textId="5405A922" w:rsidR="00E73413" w:rsidRDefault="00E73413" w:rsidP="00E73413">
            <w:pPr>
              <w:pStyle w:val="ListParagraph"/>
              <w:spacing w:line="276" w:lineRule="auto"/>
              <w:ind w:left="0"/>
              <w:jc w:val="center"/>
            </w:pPr>
            <w:r>
              <w:t>Year</w:t>
            </w:r>
          </w:p>
        </w:tc>
        <w:tc>
          <w:tcPr>
            <w:tcW w:w="1287" w:type="dxa"/>
            <w:vAlign w:val="bottom"/>
          </w:tcPr>
          <w:p w14:paraId="697B4CAB" w14:textId="68850123" w:rsidR="00E73413" w:rsidRDefault="00E73413" w:rsidP="00E73413">
            <w:pPr>
              <w:pStyle w:val="ListParagraph"/>
              <w:spacing w:line="276" w:lineRule="auto"/>
              <w:ind w:left="0"/>
              <w:jc w:val="center"/>
            </w:pPr>
            <w:r>
              <w:t>2015/16</w:t>
            </w:r>
          </w:p>
        </w:tc>
        <w:tc>
          <w:tcPr>
            <w:tcW w:w="1288" w:type="dxa"/>
            <w:vAlign w:val="bottom"/>
          </w:tcPr>
          <w:p w14:paraId="3A392745" w14:textId="51899C11" w:rsidR="00E73413" w:rsidRDefault="00E73413" w:rsidP="00E73413">
            <w:pPr>
              <w:pStyle w:val="ListParagraph"/>
              <w:spacing w:line="276" w:lineRule="auto"/>
              <w:ind w:left="0"/>
              <w:jc w:val="center"/>
            </w:pPr>
            <w:r>
              <w:t>2016/17</w:t>
            </w:r>
          </w:p>
        </w:tc>
        <w:tc>
          <w:tcPr>
            <w:tcW w:w="1288" w:type="dxa"/>
            <w:vAlign w:val="bottom"/>
          </w:tcPr>
          <w:p w14:paraId="3DA4522A" w14:textId="273517C9" w:rsidR="00E73413" w:rsidRDefault="00E73413" w:rsidP="00E73413">
            <w:pPr>
              <w:pStyle w:val="ListParagraph"/>
              <w:spacing w:line="276" w:lineRule="auto"/>
              <w:ind w:left="0"/>
              <w:jc w:val="center"/>
            </w:pPr>
            <w:r>
              <w:t>2017/18</w:t>
            </w:r>
          </w:p>
        </w:tc>
        <w:tc>
          <w:tcPr>
            <w:tcW w:w="1288" w:type="dxa"/>
            <w:vAlign w:val="bottom"/>
          </w:tcPr>
          <w:p w14:paraId="63F0F5C3" w14:textId="5EB3CC61" w:rsidR="00E73413" w:rsidRDefault="00E73413" w:rsidP="00E73413">
            <w:pPr>
              <w:pStyle w:val="ListParagraph"/>
              <w:spacing w:line="276" w:lineRule="auto"/>
              <w:ind w:left="0"/>
              <w:jc w:val="center"/>
            </w:pPr>
            <w:r>
              <w:t>2018/19</w:t>
            </w:r>
          </w:p>
        </w:tc>
        <w:tc>
          <w:tcPr>
            <w:tcW w:w="1288" w:type="dxa"/>
            <w:vAlign w:val="bottom"/>
          </w:tcPr>
          <w:p w14:paraId="2E11383F" w14:textId="32B48227" w:rsidR="00E73413" w:rsidRDefault="00E73413" w:rsidP="00E73413">
            <w:pPr>
              <w:pStyle w:val="ListParagraph"/>
              <w:spacing w:line="276" w:lineRule="auto"/>
              <w:ind w:left="0"/>
              <w:jc w:val="center"/>
            </w:pPr>
            <w:r>
              <w:t>2019/20</w:t>
            </w:r>
          </w:p>
        </w:tc>
      </w:tr>
      <w:tr w:rsidR="00E73413" w14:paraId="29F70232" w14:textId="77777777" w:rsidTr="00E73413">
        <w:trPr>
          <w:trHeight w:val="458"/>
        </w:trPr>
        <w:tc>
          <w:tcPr>
            <w:tcW w:w="1335" w:type="dxa"/>
            <w:vAlign w:val="bottom"/>
          </w:tcPr>
          <w:p w14:paraId="67D05122" w14:textId="2DDD2BD7" w:rsidR="00E73413" w:rsidRDefault="00E73413" w:rsidP="00E73413">
            <w:pPr>
              <w:pStyle w:val="ListParagraph"/>
              <w:spacing w:line="276" w:lineRule="auto"/>
              <w:ind w:left="0"/>
              <w:jc w:val="center"/>
            </w:pPr>
            <w:r>
              <w:t>Levy</w:t>
            </w:r>
          </w:p>
        </w:tc>
        <w:tc>
          <w:tcPr>
            <w:tcW w:w="1287" w:type="dxa"/>
            <w:vAlign w:val="bottom"/>
          </w:tcPr>
          <w:p w14:paraId="3DC570F3" w14:textId="3ADE4B2B" w:rsidR="00E73413" w:rsidRDefault="00E73413" w:rsidP="00E73413">
            <w:pPr>
              <w:pStyle w:val="ListParagraph"/>
              <w:spacing w:line="276" w:lineRule="auto"/>
              <w:ind w:left="0"/>
              <w:jc w:val="center"/>
            </w:pPr>
            <w:r>
              <w:t>£558m</w:t>
            </w:r>
          </w:p>
        </w:tc>
        <w:tc>
          <w:tcPr>
            <w:tcW w:w="1288" w:type="dxa"/>
            <w:vAlign w:val="bottom"/>
          </w:tcPr>
          <w:p w14:paraId="5A8AEDD2" w14:textId="7CF67F98" w:rsidR="00E73413" w:rsidRDefault="00E73413" w:rsidP="00E73413">
            <w:pPr>
              <w:pStyle w:val="ListParagraph"/>
              <w:spacing w:line="276" w:lineRule="auto"/>
              <w:ind w:left="0"/>
              <w:jc w:val="center"/>
            </w:pPr>
            <w:r>
              <w:t>£585m</w:t>
            </w:r>
          </w:p>
        </w:tc>
        <w:tc>
          <w:tcPr>
            <w:tcW w:w="1288" w:type="dxa"/>
            <w:vAlign w:val="bottom"/>
          </w:tcPr>
          <w:p w14:paraId="1ED27F70" w14:textId="1789D54B" w:rsidR="00E73413" w:rsidRDefault="00E73413" w:rsidP="00E73413">
            <w:pPr>
              <w:pStyle w:val="ListParagraph"/>
              <w:spacing w:line="276" w:lineRule="auto"/>
              <w:ind w:left="0"/>
              <w:jc w:val="center"/>
            </w:pPr>
            <w:r>
              <w:t>£537m</w:t>
            </w:r>
          </w:p>
        </w:tc>
        <w:tc>
          <w:tcPr>
            <w:tcW w:w="1288" w:type="dxa"/>
            <w:vAlign w:val="bottom"/>
          </w:tcPr>
          <w:p w14:paraId="0C6F9F9E" w14:textId="51F1CEA2" w:rsidR="00E73413" w:rsidRDefault="00E73413" w:rsidP="00E73413">
            <w:pPr>
              <w:pStyle w:val="ListParagraph"/>
              <w:spacing w:line="276" w:lineRule="auto"/>
              <w:ind w:left="0"/>
              <w:jc w:val="center"/>
            </w:pPr>
            <w:r>
              <w:t>£561m</w:t>
            </w:r>
          </w:p>
        </w:tc>
        <w:tc>
          <w:tcPr>
            <w:tcW w:w="1288" w:type="dxa"/>
            <w:vAlign w:val="bottom"/>
          </w:tcPr>
          <w:p w14:paraId="314B1F28" w14:textId="44910D18" w:rsidR="00E73413" w:rsidRDefault="00E73413" w:rsidP="00E73413">
            <w:pPr>
              <w:pStyle w:val="ListParagraph"/>
              <w:spacing w:line="276" w:lineRule="auto"/>
              <w:ind w:left="0"/>
              <w:jc w:val="center"/>
            </w:pPr>
            <w:r>
              <w:t>£567m</w:t>
            </w:r>
          </w:p>
        </w:tc>
      </w:tr>
      <w:tr w:rsidR="00E73413" w14:paraId="6E94C709" w14:textId="77777777" w:rsidTr="00E73413">
        <w:trPr>
          <w:trHeight w:val="458"/>
        </w:trPr>
        <w:tc>
          <w:tcPr>
            <w:tcW w:w="1335" w:type="dxa"/>
            <w:vAlign w:val="bottom"/>
          </w:tcPr>
          <w:p w14:paraId="041C08A4" w14:textId="7836729C" w:rsidR="00E73413" w:rsidRDefault="00E73413" w:rsidP="00E73413">
            <w:pPr>
              <w:pStyle w:val="ListParagraph"/>
              <w:spacing w:line="276" w:lineRule="auto"/>
              <w:ind w:left="0"/>
              <w:jc w:val="center"/>
            </w:pPr>
            <w:r>
              <w:t>Year</w:t>
            </w:r>
          </w:p>
        </w:tc>
        <w:tc>
          <w:tcPr>
            <w:tcW w:w="1287" w:type="dxa"/>
            <w:vAlign w:val="bottom"/>
          </w:tcPr>
          <w:p w14:paraId="42843233" w14:textId="117363E4" w:rsidR="00E73413" w:rsidRDefault="00E73413" w:rsidP="00E73413">
            <w:pPr>
              <w:pStyle w:val="ListParagraph"/>
              <w:spacing w:line="276" w:lineRule="auto"/>
              <w:ind w:left="0"/>
              <w:jc w:val="center"/>
            </w:pPr>
            <w:r>
              <w:t>2020/21</w:t>
            </w:r>
          </w:p>
        </w:tc>
        <w:tc>
          <w:tcPr>
            <w:tcW w:w="1288" w:type="dxa"/>
            <w:vAlign w:val="bottom"/>
          </w:tcPr>
          <w:p w14:paraId="6486B853" w14:textId="12CBDC46" w:rsidR="00E73413" w:rsidRDefault="00E73413" w:rsidP="00E73413">
            <w:pPr>
              <w:pStyle w:val="ListParagraph"/>
              <w:spacing w:line="276" w:lineRule="auto"/>
              <w:ind w:left="0"/>
              <w:jc w:val="center"/>
            </w:pPr>
            <w:r>
              <w:t>2021/22</w:t>
            </w:r>
          </w:p>
        </w:tc>
        <w:tc>
          <w:tcPr>
            <w:tcW w:w="1288" w:type="dxa"/>
            <w:vAlign w:val="bottom"/>
          </w:tcPr>
          <w:p w14:paraId="1F5A3447" w14:textId="31CE36FB" w:rsidR="00E73413" w:rsidRDefault="00E73413" w:rsidP="00E73413">
            <w:pPr>
              <w:pStyle w:val="ListParagraph"/>
              <w:spacing w:line="276" w:lineRule="auto"/>
              <w:ind w:left="0"/>
              <w:jc w:val="center"/>
            </w:pPr>
            <w:r>
              <w:t>2022/23</w:t>
            </w:r>
          </w:p>
        </w:tc>
        <w:tc>
          <w:tcPr>
            <w:tcW w:w="1288" w:type="dxa"/>
            <w:vAlign w:val="bottom"/>
          </w:tcPr>
          <w:p w14:paraId="62943F63" w14:textId="4F2014F2" w:rsidR="00E73413" w:rsidRDefault="00E73413" w:rsidP="00E73413">
            <w:pPr>
              <w:pStyle w:val="ListParagraph"/>
              <w:spacing w:line="276" w:lineRule="auto"/>
              <w:ind w:left="0"/>
              <w:jc w:val="center"/>
            </w:pPr>
            <w:r>
              <w:t>2023/24</w:t>
            </w:r>
          </w:p>
        </w:tc>
        <w:tc>
          <w:tcPr>
            <w:tcW w:w="1288" w:type="dxa"/>
            <w:shd w:val="clear" w:color="auto" w:fill="000000" w:themeFill="text1"/>
            <w:vAlign w:val="bottom"/>
          </w:tcPr>
          <w:p w14:paraId="6C50B09F" w14:textId="77777777" w:rsidR="00E73413" w:rsidRDefault="00E73413" w:rsidP="00E73413">
            <w:pPr>
              <w:pStyle w:val="ListParagraph"/>
              <w:spacing w:line="276" w:lineRule="auto"/>
              <w:ind w:left="0"/>
              <w:jc w:val="center"/>
            </w:pPr>
          </w:p>
        </w:tc>
      </w:tr>
      <w:tr w:rsidR="00E73413" w14:paraId="2D066E6D" w14:textId="77777777" w:rsidTr="00E73413">
        <w:trPr>
          <w:trHeight w:val="458"/>
        </w:trPr>
        <w:tc>
          <w:tcPr>
            <w:tcW w:w="1335" w:type="dxa"/>
            <w:vAlign w:val="bottom"/>
          </w:tcPr>
          <w:p w14:paraId="5CA48719" w14:textId="18E7ABC7" w:rsidR="00E73413" w:rsidRDefault="00E73413" w:rsidP="00E73413">
            <w:pPr>
              <w:pStyle w:val="ListParagraph"/>
              <w:spacing w:line="276" w:lineRule="auto"/>
              <w:ind w:left="0"/>
              <w:jc w:val="center"/>
            </w:pPr>
            <w:r>
              <w:t>Levy</w:t>
            </w:r>
          </w:p>
        </w:tc>
        <w:tc>
          <w:tcPr>
            <w:tcW w:w="1287" w:type="dxa"/>
            <w:vAlign w:val="bottom"/>
          </w:tcPr>
          <w:p w14:paraId="2EDFBA67" w14:textId="1CD078FC" w:rsidR="00E73413" w:rsidRDefault="00E73413" w:rsidP="00E73413">
            <w:pPr>
              <w:pStyle w:val="ListParagraph"/>
              <w:spacing w:line="276" w:lineRule="auto"/>
              <w:ind w:left="0"/>
              <w:jc w:val="center"/>
            </w:pPr>
            <w:r>
              <w:t>£630m</w:t>
            </w:r>
          </w:p>
        </w:tc>
        <w:tc>
          <w:tcPr>
            <w:tcW w:w="1288" w:type="dxa"/>
            <w:vAlign w:val="bottom"/>
          </w:tcPr>
          <w:p w14:paraId="57FEBF9B" w14:textId="04BE12B3" w:rsidR="00E73413" w:rsidRDefault="00E73413" w:rsidP="00E73413">
            <w:pPr>
              <w:pStyle w:val="ListParagraph"/>
              <w:spacing w:line="276" w:lineRule="auto"/>
              <w:ind w:left="0"/>
              <w:jc w:val="center"/>
            </w:pPr>
            <w:r>
              <w:t>£475m</w:t>
            </w:r>
          </w:p>
        </w:tc>
        <w:tc>
          <w:tcPr>
            <w:tcW w:w="1288" w:type="dxa"/>
            <w:vAlign w:val="bottom"/>
          </w:tcPr>
          <w:p w14:paraId="6309945E" w14:textId="0AE00485" w:rsidR="00E73413" w:rsidRDefault="00E73413" w:rsidP="00E73413">
            <w:pPr>
              <w:pStyle w:val="ListParagraph"/>
              <w:spacing w:line="276" w:lineRule="auto"/>
              <w:ind w:left="0"/>
              <w:jc w:val="center"/>
            </w:pPr>
            <w:r>
              <w:t>£390m</w:t>
            </w:r>
          </w:p>
        </w:tc>
        <w:tc>
          <w:tcPr>
            <w:tcW w:w="1288" w:type="dxa"/>
            <w:vAlign w:val="bottom"/>
          </w:tcPr>
          <w:p w14:paraId="018DCC0B" w14:textId="4F1A0B3A" w:rsidR="00E73413" w:rsidRDefault="00E73413" w:rsidP="00E73413">
            <w:pPr>
              <w:pStyle w:val="ListParagraph"/>
              <w:spacing w:line="276" w:lineRule="auto"/>
              <w:ind w:left="0"/>
              <w:jc w:val="center"/>
            </w:pPr>
            <w:r>
              <w:t>£200m</w:t>
            </w:r>
          </w:p>
        </w:tc>
        <w:tc>
          <w:tcPr>
            <w:tcW w:w="1288" w:type="dxa"/>
            <w:shd w:val="clear" w:color="auto" w:fill="000000" w:themeFill="text1"/>
            <w:vAlign w:val="bottom"/>
          </w:tcPr>
          <w:p w14:paraId="37D97912" w14:textId="77777777" w:rsidR="00E73413" w:rsidRDefault="00E73413" w:rsidP="00E73413">
            <w:pPr>
              <w:pStyle w:val="ListParagraph"/>
              <w:spacing w:line="276" w:lineRule="auto"/>
              <w:ind w:left="0"/>
              <w:jc w:val="center"/>
            </w:pPr>
          </w:p>
        </w:tc>
      </w:tr>
    </w:tbl>
    <w:p w14:paraId="65084F9D" w14:textId="4223063F" w:rsidR="003B08BB" w:rsidRDefault="003B08BB" w:rsidP="003B08BB">
      <w:pPr>
        <w:spacing w:line="276" w:lineRule="auto"/>
      </w:pPr>
    </w:p>
    <w:p w14:paraId="0887B425" w14:textId="63343A6B" w:rsidR="00E73413" w:rsidRDefault="00774600" w:rsidP="00E73413">
      <w:pPr>
        <w:pStyle w:val="ListParagraph"/>
        <w:numPr>
          <w:ilvl w:val="0"/>
          <w:numId w:val="10"/>
        </w:numPr>
        <w:spacing w:line="276" w:lineRule="auto"/>
      </w:pPr>
      <w:r>
        <w:t>In addition to the reductions in the levy that have already been implemented, the PPF’s latest funding strategy</w:t>
      </w:r>
      <w:r>
        <w:rPr>
          <w:rStyle w:val="FootnoteReference"/>
        </w:rPr>
        <w:footnoteReference w:id="6"/>
      </w:r>
      <w:r>
        <w:t xml:space="preserve"> refers to working with DWP to enable legislative change “</w:t>
      </w:r>
      <w:r w:rsidRPr="00774600">
        <w:t>to support further reductions in levy in future years</w:t>
      </w:r>
      <w:r>
        <w:t xml:space="preserve">”. This gives a clear </w:t>
      </w:r>
      <w:r>
        <w:lastRenderedPageBreak/>
        <w:t>steer that the PPF anticipates “</w:t>
      </w:r>
      <w:r w:rsidRPr="00774600">
        <w:t>charging a much lower levy in the future</w:t>
      </w:r>
      <w:r>
        <w:t>” as it journeys through its maturing phase.</w:t>
      </w:r>
    </w:p>
    <w:p w14:paraId="75F9B87D" w14:textId="77777777" w:rsidR="00E73413" w:rsidRDefault="00E73413" w:rsidP="00E73413">
      <w:pPr>
        <w:pStyle w:val="ListParagraph"/>
        <w:spacing w:line="276" w:lineRule="auto"/>
      </w:pPr>
    </w:p>
    <w:p w14:paraId="1018C32E" w14:textId="254A4465" w:rsidR="00D005C8" w:rsidRDefault="00AB6F73" w:rsidP="0081497E">
      <w:pPr>
        <w:pStyle w:val="ListParagraph"/>
        <w:numPr>
          <w:ilvl w:val="0"/>
          <w:numId w:val="10"/>
        </w:numPr>
        <w:spacing w:line="276" w:lineRule="auto"/>
      </w:pPr>
      <w:r>
        <w:t>Unlike levy-payers, PPF members have not benefited from the improvement in funding levels.</w:t>
      </w:r>
      <w:r w:rsidR="00465A21">
        <w:t xml:space="preserve"> There is a strong case for immediate improvements in compensation to reflect the improved funding position. The Board of the PPF currently has limited discretion in relation to improving compensation levels</w:t>
      </w:r>
      <w:r w:rsidR="0081497E">
        <w:t>,</w:t>
      </w:r>
      <w:r w:rsidR="00465A21">
        <w:t xml:space="preserve"> so legislation </w:t>
      </w:r>
      <w:r w:rsidR="009A373B">
        <w:t>will</w:t>
      </w:r>
      <w:r w:rsidR="00465A21">
        <w:t xml:space="preserve"> be necessary in this area.</w:t>
      </w:r>
      <w:r w:rsidR="0081497E">
        <w:t xml:space="preserve"> This is considered in more detail in the next section.</w:t>
      </w:r>
      <w:r w:rsidR="00465A21">
        <w:t xml:space="preserve"> </w:t>
      </w:r>
      <w:r>
        <w:t xml:space="preserve">  </w:t>
      </w:r>
    </w:p>
    <w:p w14:paraId="02B0C9C7" w14:textId="77777777" w:rsidR="00AB6F73" w:rsidRDefault="00AB6F73" w:rsidP="00AB6F73">
      <w:pPr>
        <w:pStyle w:val="ListParagraph"/>
        <w:spacing w:line="276" w:lineRule="auto"/>
      </w:pPr>
    </w:p>
    <w:p w14:paraId="58AF5C6C" w14:textId="1FB6D211" w:rsidR="00413D37" w:rsidRDefault="000D03FB" w:rsidP="0081497E">
      <w:pPr>
        <w:pStyle w:val="ListParagraph"/>
        <w:numPr>
          <w:ilvl w:val="0"/>
          <w:numId w:val="10"/>
        </w:numPr>
        <w:spacing w:line="276" w:lineRule="auto"/>
      </w:pPr>
      <w:r>
        <w:t xml:space="preserve">There is </w:t>
      </w:r>
      <w:r w:rsidR="0081497E">
        <w:t xml:space="preserve">also </w:t>
      </w:r>
      <w:r>
        <w:t>a wider question about what should happen to any “surplus”</w:t>
      </w:r>
      <w:r w:rsidR="00016120">
        <w:t xml:space="preserve"> in the PPF. </w:t>
      </w:r>
      <w:r w:rsidR="00413D37">
        <w:t>The PPF’s policy statement on levy rules for 2023/24</w:t>
      </w:r>
      <w:r w:rsidR="00413D37">
        <w:rPr>
          <w:rStyle w:val="FootnoteReference"/>
        </w:rPr>
        <w:footnoteReference w:id="7"/>
      </w:r>
      <w:r w:rsidR="00413D37">
        <w:t xml:space="preserve"> pointed out that the Pensions Act 2004 is silent on what would happen to any PPF excess reserves. On this point, the departmental review of the PPF</w:t>
      </w:r>
      <w:r w:rsidR="00413D37">
        <w:rPr>
          <w:rStyle w:val="FootnoteReference"/>
        </w:rPr>
        <w:footnoteReference w:id="8"/>
      </w:r>
      <w:r w:rsidR="00413D37">
        <w:t xml:space="preserve"> recommended:</w:t>
      </w:r>
    </w:p>
    <w:p w14:paraId="5A7984CF" w14:textId="77777777" w:rsidR="00413D37" w:rsidRDefault="00413D37" w:rsidP="00413D37">
      <w:pPr>
        <w:pStyle w:val="ListParagraph"/>
      </w:pPr>
    </w:p>
    <w:p w14:paraId="2F5958C5" w14:textId="2A403BDF" w:rsidR="00413D37" w:rsidRDefault="00413D37" w:rsidP="00413D37">
      <w:pPr>
        <w:pStyle w:val="ListParagraph"/>
        <w:spacing w:line="276" w:lineRule="auto"/>
      </w:pPr>
      <w:r>
        <w:t>“</w:t>
      </w:r>
      <w:r w:rsidRPr="00413D37">
        <w:t>That the DWP and the PPF work together to understand the implications of the PPF’s funding position in light of expected future developments in the population of Defined Benefit (DB) pension schemes and plan well ahead for any legislative changes that might be needed; for example, to address what happens to any funding which is surplus to requirements.</w:t>
      </w:r>
      <w:r>
        <w:t>”</w:t>
      </w:r>
    </w:p>
    <w:p w14:paraId="72824CDC" w14:textId="77777777" w:rsidR="00413D37" w:rsidRDefault="00413D37" w:rsidP="00413D37">
      <w:pPr>
        <w:pStyle w:val="ListParagraph"/>
        <w:spacing w:line="276" w:lineRule="auto"/>
      </w:pPr>
    </w:p>
    <w:p w14:paraId="6B504CD0" w14:textId="107C629A" w:rsidR="00D005C8" w:rsidRDefault="00413D37" w:rsidP="0081497E">
      <w:pPr>
        <w:pStyle w:val="ListParagraph"/>
        <w:numPr>
          <w:ilvl w:val="0"/>
          <w:numId w:val="10"/>
        </w:numPr>
        <w:spacing w:line="276" w:lineRule="auto"/>
      </w:pPr>
      <w:r>
        <w:t xml:space="preserve">Clearly there are longer-term questions about the distribution of potential “surplus” in the PPF. It is vital that PPF members’ interests are represented in these conversations and that any legislation allocates an appropriate share of any “surplus” to PPF members and their dependents. </w:t>
      </w:r>
    </w:p>
    <w:p w14:paraId="6B9FD703" w14:textId="6BF6DDF4" w:rsidR="000F61BB" w:rsidRDefault="00413D37" w:rsidP="00D005C8">
      <w:pPr>
        <w:pStyle w:val="Heading3"/>
      </w:pPr>
      <w:r>
        <w:t>Should changes be made to the PPF to improve outcomes for members?</w:t>
      </w:r>
    </w:p>
    <w:p w14:paraId="318DEAF9" w14:textId="3356B980" w:rsidR="0081497E" w:rsidRDefault="0081497E" w:rsidP="0081497E">
      <w:pPr>
        <w:pStyle w:val="ListParagraph"/>
        <w:numPr>
          <w:ilvl w:val="0"/>
          <w:numId w:val="10"/>
        </w:numPr>
        <w:spacing w:line="276" w:lineRule="auto"/>
      </w:pPr>
      <w:r>
        <w:t>T</w:t>
      </w:r>
      <w:r w:rsidR="00413D37">
        <w:t xml:space="preserve">here is a strong case for sharing the benefits of the PPF’s improved funding position with members. </w:t>
      </w:r>
      <w:r>
        <w:t>Prospect’s preference</w:t>
      </w:r>
      <w:r w:rsidR="00690ECB">
        <w:t>s</w:t>
      </w:r>
      <w:r>
        <w:t xml:space="preserve"> for compensation improvements are set out in detail </w:t>
      </w:r>
      <w:r w:rsidR="006B7F17">
        <w:t>below</w:t>
      </w:r>
      <w:r>
        <w:t>.</w:t>
      </w:r>
      <w:r w:rsidR="006B7F17">
        <w:t xml:space="preserve"> The Board of the PPF currently has limited flexibility in paying more compensation than provided for under the Pensions Act 2004</w:t>
      </w:r>
      <w:r w:rsidR="0051568B">
        <w:t>,</w:t>
      </w:r>
      <w:r w:rsidR="006B7F17">
        <w:t xml:space="preserve"> </w:t>
      </w:r>
      <w:r w:rsidR="00256421">
        <w:t xml:space="preserve">so </w:t>
      </w:r>
      <w:r w:rsidR="00A03992">
        <w:t>legislation</w:t>
      </w:r>
      <w:r w:rsidR="0051568B">
        <w:t xml:space="preserve"> will</w:t>
      </w:r>
      <w:r w:rsidR="00A03992">
        <w:t xml:space="preserve"> be necessary to</w:t>
      </w:r>
      <w:r w:rsidR="0051568B">
        <w:t xml:space="preserve"> enable compensation improvements.</w:t>
      </w:r>
      <w:r w:rsidR="00A03992">
        <w:t xml:space="preserve"> </w:t>
      </w:r>
    </w:p>
    <w:p w14:paraId="30E4C67E" w14:textId="77777777" w:rsidR="0081497E" w:rsidRDefault="0081497E" w:rsidP="0081497E">
      <w:pPr>
        <w:pStyle w:val="ListParagraph"/>
        <w:spacing w:line="276" w:lineRule="auto"/>
      </w:pPr>
    </w:p>
    <w:p w14:paraId="44797F77" w14:textId="3C0C115B" w:rsidR="00D005C8" w:rsidRDefault="0081497E" w:rsidP="0081497E">
      <w:pPr>
        <w:pStyle w:val="ListParagraph"/>
        <w:numPr>
          <w:ilvl w:val="0"/>
          <w:numId w:val="11"/>
        </w:numPr>
        <w:spacing w:line="276" w:lineRule="auto"/>
      </w:pPr>
      <w:r>
        <w:rPr>
          <w:b/>
          <w:bCs/>
        </w:rPr>
        <w:t>Indexation of compensation</w:t>
      </w:r>
      <w:r w:rsidRPr="0081497E">
        <w:t xml:space="preserve"> </w:t>
      </w:r>
      <w:r w:rsidRPr="0081497E">
        <w:rPr>
          <w:b/>
          <w:bCs/>
        </w:rPr>
        <w:t>in relation to pensionable service before 6 April 1997</w:t>
      </w:r>
      <w:r>
        <w:rPr>
          <w:b/>
          <w:bCs/>
        </w:rPr>
        <w:t xml:space="preserve"> </w:t>
      </w:r>
      <w:r>
        <w:t xml:space="preserve"> </w:t>
      </w:r>
    </w:p>
    <w:p w14:paraId="7B38A26F" w14:textId="06B883B5" w:rsidR="00434C6B" w:rsidRDefault="00434C6B" w:rsidP="00434C6B">
      <w:pPr>
        <w:pStyle w:val="ListParagraph"/>
        <w:spacing w:line="276" w:lineRule="auto"/>
      </w:pPr>
    </w:p>
    <w:p w14:paraId="2C110D76" w14:textId="1E0EFC5A" w:rsidR="0051568B" w:rsidRDefault="0051568B" w:rsidP="0081497E">
      <w:pPr>
        <w:pStyle w:val="ListParagraph"/>
        <w:numPr>
          <w:ilvl w:val="0"/>
          <w:numId w:val="10"/>
        </w:numPr>
        <w:spacing w:line="276" w:lineRule="auto"/>
      </w:pPr>
      <w:r>
        <w:t xml:space="preserve">The Pensions Act 2004 only provides for increases to compensation </w:t>
      </w:r>
      <w:r w:rsidR="0006240C">
        <w:t>that is attributable to “post-1997</w:t>
      </w:r>
      <w:r w:rsidR="004427FC">
        <w:t>”</w:t>
      </w:r>
      <w:r w:rsidR="0006240C">
        <w:t xml:space="preserve"> service.</w:t>
      </w:r>
      <w:r w:rsidR="00D25E0B">
        <w:t xml:space="preserve"> Compensation in relation to pensionable service before 6 April 1997 attracts no increase.</w:t>
      </w:r>
    </w:p>
    <w:p w14:paraId="421A6C7D" w14:textId="77777777" w:rsidR="0051568B" w:rsidRDefault="0051568B" w:rsidP="0051568B">
      <w:pPr>
        <w:pStyle w:val="ListParagraph"/>
        <w:spacing w:line="276" w:lineRule="auto"/>
      </w:pPr>
    </w:p>
    <w:p w14:paraId="6AB25FEC" w14:textId="7A3B9646" w:rsidR="00434C6B" w:rsidRDefault="00D25E0B" w:rsidP="0081497E">
      <w:pPr>
        <w:pStyle w:val="ListParagraph"/>
        <w:numPr>
          <w:ilvl w:val="0"/>
          <w:numId w:val="10"/>
        </w:numPr>
        <w:spacing w:line="276" w:lineRule="auto"/>
      </w:pPr>
      <w:r>
        <w:t>The choice of the level of indexation (for both “pre-1997” and “post-1997” service) was the subject of debate during the passage of the Pensions Act 2004 through Parliament</w:t>
      </w:r>
      <w:r w:rsidR="00434C6B">
        <w:t>.</w:t>
      </w:r>
    </w:p>
    <w:p w14:paraId="5816C31D" w14:textId="77777777" w:rsidR="00434C6B" w:rsidRDefault="00434C6B" w:rsidP="00434C6B">
      <w:pPr>
        <w:pStyle w:val="ListParagraph"/>
      </w:pPr>
    </w:p>
    <w:p w14:paraId="515D0C58" w14:textId="349BE260" w:rsidR="00CF5150" w:rsidRDefault="001F62DC" w:rsidP="0081497E">
      <w:pPr>
        <w:pStyle w:val="ListParagraph"/>
        <w:numPr>
          <w:ilvl w:val="0"/>
          <w:numId w:val="10"/>
        </w:numPr>
        <w:spacing w:line="276" w:lineRule="auto"/>
      </w:pPr>
      <w:r>
        <w:t>In the debate of the grand committee on the pensions bill in the House of Lords on 9 September 2004</w:t>
      </w:r>
      <w:r>
        <w:rPr>
          <w:rStyle w:val="FootnoteReference"/>
        </w:rPr>
        <w:footnoteReference w:id="9"/>
      </w:r>
      <w:r>
        <w:t>, the minister stated that the decision not to provide for any increase in compensation in relation to pensionable service before 6 April 1997 was the result of “hard choices”.</w:t>
      </w:r>
    </w:p>
    <w:p w14:paraId="706069CD" w14:textId="77777777" w:rsidR="001F62DC" w:rsidRDefault="001F62DC" w:rsidP="001F62DC">
      <w:pPr>
        <w:pStyle w:val="ListParagraph"/>
      </w:pPr>
    </w:p>
    <w:p w14:paraId="7FF18AA2" w14:textId="0F2FD8A0" w:rsidR="001F62DC" w:rsidRDefault="001F62DC" w:rsidP="0081497E">
      <w:pPr>
        <w:pStyle w:val="ListParagraph"/>
        <w:numPr>
          <w:ilvl w:val="0"/>
          <w:numId w:val="10"/>
        </w:numPr>
        <w:spacing w:line="276" w:lineRule="auto"/>
      </w:pPr>
      <w:r>
        <w:t>The minister stated that the alternatives to better compensation increases were: a much higher levy, taxpayer subsidies (funded, in part, by people with</w:t>
      </w:r>
      <w:r w:rsidR="006A65F2">
        <w:t xml:space="preserve"> no</w:t>
      </w:r>
      <w:r>
        <w:t xml:space="preserve"> occupational pension at all) or a cut to compensation levels (of about 15%). </w:t>
      </w:r>
    </w:p>
    <w:p w14:paraId="51201BB4" w14:textId="77777777" w:rsidR="006A65F2" w:rsidRDefault="006A65F2" w:rsidP="006A65F2">
      <w:pPr>
        <w:pStyle w:val="ListParagraph"/>
      </w:pPr>
    </w:p>
    <w:p w14:paraId="68304219" w14:textId="54AC8F6F" w:rsidR="00B22AB5" w:rsidRDefault="006A65F2" w:rsidP="00427AEC">
      <w:pPr>
        <w:pStyle w:val="ListParagraph"/>
        <w:numPr>
          <w:ilvl w:val="0"/>
          <w:numId w:val="10"/>
        </w:numPr>
        <w:spacing w:line="276" w:lineRule="auto"/>
      </w:pPr>
      <w:r>
        <w:t xml:space="preserve">It is important to </w:t>
      </w:r>
      <w:r w:rsidR="00427AEC">
        <w:t>understand</w:t>
      </w:r>
      <w:r w:rsidR="00774600">
        <w:t xml:space="preserve"> </w:t>
      </w:r>
      <w:r w:rsidR="00B22AB5">
        <w:t>how this rule impacts PPF members.</w:t>
      </w:r>
      <w:r w:rsidR="00141812">
        <w:t xml:space="preserve"> The table below shows the theoretical value of £100 per year of PPF compensation put into payment on 1 January 2005</w:t>
      </w:r>
      <w:r w:rsidR="00427AEC">
        <w:t xml:space="preserve"> would be if it was increased in line with uncapped inflation (as measured by CPI) every year since then</w:t>
      </w:r>
      <w:r w:rsidR="00141812">
        <w:t>.</w:t>
      </w:r>
      <w:r w:rsidR="00427AEC">
        <w:t xml:space="preserve"> If the compensation entirely related to service before </w:t>
      </w:r>
      <w:r w:rsidR="00690ECB">
        <w:t>6 April 1997,</w:t>
      </w:r>
      <w:r w:rsidR="00427AEC">
        <w:t xml:space="preserve"> then it would still only be worth £100 per year now. This represents a fall in purchasing power of well over 50%. </w:t>
      </w:r>
      <w:r w:rsidR="00750F0E">
        <w:t xml:space="preserve"> </w:t>
      </w:r>
    </w:p>
    <w:p w14:paraId="181C8318" w14:textId="77777777" w:rsidR="00B22AB5" w:rsidRDefault="00B22AB5" w:rsidP="00B22AB5">
      <w:pPr>
        <w:pStyle w:val="ListParagraph"/>
      </w:pPr>
    </w:p>
    <w:tbl>
      <w:tblPr>
        <w:tblStyle w:val="TableGrid"/>
        <w:tblW w:w="0" w:type="auto"/>
        <w:tblInd w:w="720" w:type="dxa"/>
        <w:tblLook w:val="04A0" w:firstRow="1" w:lastRow="0" w:firstColumn="1" w:lastColumn="0" w:noHBand="0" w:noVBand="1"/>
      </w:tblPr>
      <w:tblGrid>
        <w:gridCol w:w="2591"/>
        <w:gridCol w:w="2591"/>
        <w:gridCol w:w="2592"/>
      </w:tblGrid>
      <w:tr w:rsidR="00B22AB5" w14:paraId="4BFA0A62" w14:textId="77777777" w:rsidTr="00B22AB5">
        <w:trPr>
          <w:trHeight w:val="421"/>
        </w:trPr>
        <w:tc>
          <w:tcPr>
            <w:tcW w:w="2591" w:type="dxa"/>
            <w:vAlign w:val="bottom"/>
          </w:tcPr>
          <w:p w14:paraId="62C2633D" w14:textId="55F006B9" w:rsidR="00B22AB5" w:rsidRDefault="00B22AB5" w:rsidP="00B22AB5">
            <w:pPr>
              <w:pStyle w:val="ListParagraph"/>
              <w:ind w:left="0"/>
              <w:jc w:val="center"/>
            </w:pPr>
            <w:r>
              <w:t>Year</w:t>
            </w:r>
          </w:p>
        </w:tc>
        <w:tc>
          <w:tcPr>
            <w:tcW w:w="2591" w:type="dxa"/>
            <w:vAlign w:val="bottom"/>
          </w:tcPr>
          <w:p w14:paraId="56660A94" w14:textId="5F71D120" w:rsidR="00B22AB5" w:rsidRDefault="00B22AB5" w:rsidP="00B22AB5">
            <w:pPr>
              <w:pStyle w:val="ListParagraph"/>
              <w:ind w:left="0"/>
              <w:jc w:val="center"/>
            </w:pPr>
            <w:r>
              <w:t xml:space="preserve">CPI </w:t>
            </w:r>
            <w:r w:rsidR="00690ECB">
              <w:t>(to</w:t>
            </w:r>
            <w:r w:rsidR="00427AEC">
              <w:t xml:space="preserve"> </w:t>
            </w:r>
            <w:r w:rsidR="00C3451F">
              <w:t xml:space="preserve">previous </w:t>
            </w:r>
            <w:r>
              <w:t>May)</w:t>
            </w:r>
          </w:p>
        </w:tc>
        <w:tc>
          <w:tcPr>
            <w:tcW w:w="2592" w:type="dxa"/>
            <w:vAlign w:val="bottom"/>
          </w:tcPr>
          <w:p w14:paraId="23B0AD6E" w14:textId="06DB471C" w:rsidR="00B22AB5" w:rsidRDefault="00B22AB5" w:rsidP="00B22AB5">
            <w:pPr>
              <w:pStyle w:val="ListParagraph"/>
              <w:ind w:left="0"/>
              <w:jc w:val="center"/>
            </w:pPr>
            <w:r>
              <w:t>Compensation</w:t>
            </w:r>
          </w:p>
        </w:tc>
      </w:tr>
      <w:tr w:rsidR="00B22AB5" w14:paraId="333021BB" w14:textId="77777777" w:rsidTr="00B22AB5">
        <w:trPr>
          <w:trHeight w:val="421"/>
        </w:trPr>
        <w:tc>
          <w:tcPr>
            <w:tcW w:w="2591" w:type="dxa"/>
            <w:vAlign w:val="bottom"/>
          </w:tcPr>
          <w:p w14:paraId="526D3EFF" w14:textId="168F6574" w:rsidR="00B22AB5" w:rsidRDefault="00B22AB5" w:rsidP="00B22AB5">
            <w:pPr>
              <w:pStyle w:val="ListParagraph"/>
              <w:ind w:left="0"/>
              <w:jc w:val="center"/>
            </w:pPr>
            <w:r>
              <w:t>2006</w:t>
            </w:r>
          </w:p>
        </w:tc>
        <w:tc>
          <w:tcPr>
            <w:tcW w:w="2591" w:type="dxa"/>
            <w:vAlign w:val="bottom"/>
          </w:tcPr>
          <w:p w14:paraId="44169DF8" w14:textId="28310112" w:rsidR="00B22AB5" w:rsidRDefault="00C3451F" w:rsidP="00B22AB5">
            <w:pPr>
              <w:pStyle w:val="ListParagraph"/>
              <w:ind w:left="0"/>
              <w:jc w:val="center"/>
            </w:pPr>
            <w:r>
              <w:t>1.9%</w:t>
            </w:r>
          </w:p>
        </w:tc>
        <w:tc>
          <w:tcPr>
            <w:tcW w:w="2592" w:type="dxa"/>
            <w:vAlign w:val="bottom"/>
          </w:tcPr>
          <w:p w14:paraId="32B70B10" w14:textId="075F63CA" w:rsidR="00B22AB5" w:rsidRDefault="00B22AB5" w:rsidP="00B22AB5">
            <w:pPr>
              <w:pStyle w:val="ListParagraph"/>
              <w:ind w:left="0"/>
              <w:jc w:val="center"/>
            </w:pPr>
            <w:r>
              <w:t>10</w:t>
            </w:r>
            <w:r w:rsidR="00C3451F">
              <w:t>1.9</w:t>
            </w:r>
          </w:p>
        </w:tc>
      </w:tr>
      <w:tr w:rsidR="00B22AB5" w14:paraId="25C7E99B" w14:textId="77777777" w:rsidTr="00B22AB5">
        <w:trPr>
          <w:trHeight w:val="422"/>
        </w:trPr>
        <w:tc>
          <w:tcPr>
            <w:tcW w:w="2591" w:type="dxa"/>
            <w:vAlign w:val="bottom"/>
          </w:tcPr>
          <w:p w14:paraId="588AD042" w14:textId="1633C6E9" w:rsidR="00B22AB5" w:rsidRDefault="00B22AB5" w:rsidP="00B22AB5">
            <w:pPr>
              <w:pStyle w:val="ListParagraph"/>
              <w:ind w:left="0"/>
              <w:jc w:val="center"/>
            </w:pPr>
            <w:r>
              <w:t>2007</w:t>
            </w:r>
          </w:p>
        </w:tc>
        <w:tc>
          <w:tcPr>
            <w:tcW w:w="2591" w:type="dxa"/>
            <w:vAlign w:val="bottom"/>
          </w:tcPr>
          <w:p w14:paraId="60645F33" w14:textId="72D45537" w:rsidR="00B22AB5" w:rsidRDefault="00C3451F" w:rsidP="00B22AB5">
            <w:pPr>
              <w:pStyle w:val="ListParagraph"/>
              <w:ind w:left="0"/>
              <w:jc w:val="center"/>
            </w:pPr>
            <w:r>
              <w:t>2.2%</w:t>
            </w:r>
          </w:p>
        </w:tc>
        <w:tc>
          <w:tcPr>
            <w:tcW w:w="2592" w:type="dxa"/>
            <w:vAlign w:val="bottom"/>
          </w:tcPr>
          <w:p w14:paraId="05A4FE99" w14:textId="22E1051D" w:rsidR="00B22AB5" w:rsidRDefault="00C3451F" w:rsidP="00B22AB5">
            <w:pPr>
              <w:pStyle w:val="ListParagraph"/>
              <w:ind w:left="0"/>
              <w:jc w:val="center"/>
            </w:pPr>
            <w:r>
              <w:t>104.1</w:t>
            </w:r>
          </w:p>
        </w:tc>
      </w:tr>
      <w:tr w:rsidR="00B22AB5" w14:paraId="193BA0F5" w14:textId="77777777" w:rsidTr="00B22AB5">
        <w:trPr>
          <w:trHeight w:val="421"/>
        </w:trPr>
        <w:tc>
          <w:tcPr>
            <w:tcW w:w="2591" w:type="dxa"/>
            <w:vAlign w:val="bottom"/>
          </w:tcPr>
          <w:p w14:paraId="0159B7BA" w14:textId="5B629094" w:rsidR="00B22AB5" w:rsidRDefault="00B22AB5" w:rsidP="00B22AB5">
            <w:pPr>
              <w:pStyle w:val="ListParagraph"/>
              <w:ind w:left="0"/>
              <w:jc w:val="center"/>
            </w:pPr>
            <w:r>
              <w:t>2008</w:t>
            </w:r>
          </w:p>
        </w:tc>
        <w:tc>
          <w:tcPr>
            <w:tcW w:w="2591" w:type="dxa"/>
            <w:vAlign w:val="bottom"/>
          </w:tcPr>
          <w:p w14:paraId="69EA1AEE" w14:textId="29D1C10C" w:rsidR="00B22AB5" w:rsidRDefault="00C3451F" w:rsidP="00B22AB5">
            <w:pPr>
              <w:pStyle w:val="ListParagraph"/>
              <w:ind w:left="0"/>
              <w:jc w:val="center"/>
            </w:pPr>
            <w:r>
              <w:t>2.5%</w:t>
            </w:r>
          </w:p>
        </w:tc>
        <w:tc>
          <w:tcPr>
            <w:tcW w:w="2592" w:type="dxa"/>
            <w:vAlign w:val="bottom"/>
          </w:tcPr>
          <w:p w14:paraId="55181DCA" w14:textId="2922CACA" w:rsidR="00B22AB5" w:rsidRDefault="00C3451F" w:rsidP="00B22AB5">
            <w:pPr>
              <w:pStyle w:val="ListParagraph"/>
              <w:ind w:left="0"/>
              <w:jc w:val="center"/>
            </w:pPr>
            <w:r>
              <w:t>106.7</w:t>
            </w:r>
          </w:p>
        </w:tc>
      </w:tr>
      <w:tr w:rsidR="00B22AB5" w14:paraId="3365F971" w14:textId="77777777" w:rsidTr="00B22AB5">
        <w:trPr>
          <w:trHeight w:val="422"/>
        </w:trPr>
        <w:tc>
          <w:tcPr>
            <w:tcW w:w="2591" w:type="dxa"/>
            <w:vAlign w:val="bottom"/>
          </w:tcPr>
          <w:p w14:paraId="1F9A90ED" w14:textId="6F515B3C" w:rsidR="00B22AB5" w:rsidRDefault="00B22AB5" w:rsidP="00B22AB5">
            <w:pPr>
              <w:pStyle w:val="ListParagraph"/>
              <w:ind w:left="0"/>
              <w:jc w:val="center"/>
            </w:pPr>
            <w:r>
              <w:t>2009</w:t>
            </w:r>
          </w:p>
        </w:tc>
        <w:tc>
          <w:tcPr>
            <w:tcW w:w="2591" w:type="dxa"/>
            <w:vAlign w:val="bottom"/>
          </w:tcPr>
          <w:p w14:paraId="07B6973D" w14:textId="11BF8674" w:rsidR="00B22AB5" w:rsidRDefault="00C3451F" w:rsidP="00B22AB5">
            <w:pPr>
              <w:pStyle w:val="ListParagraph"/>
              <w:ind w:left="0"/>
              <w:jc w:val="center"/>
            </w:pPr>
            <w:r>
              <w:t>3.3%</w:t>
            </w:r>
          </w:p>
        </w:tc>
        <w:tc>
          <w:tcPr>
            <w:tcW w:w="2592" w:type="dxa"/>
            <w:vAlign w:val="bottom"/>
          </w:tcPr>
          <w:p w14:paraId="02D4A90D" w14:textId="1066B1DA" w:rsidR="00B22AB5" w:rsidRDefault="00C3451F" w:rsidP="00B22AB5">
            <w:pPr>
              <w:pStyle w:val="ListParagraph"/>
              <w:ind w:left="0"/>
              <w:jc w:val="center"/>
            </w:pPr>
            <w:r>
              <w:t>110.3</w:t>
            </w:r>
          </w:p>
        </w:tc>
      </w:tr>
      <w:tr w:rsidR="00B22AB5" w14:paraId="088E9252" w14:textId="77777777" w:rsidTr="00B22AB5">
        <w:trPr>
          <w:trHeight w:val="421"/>
        </w:trPr>
        <w:tc>
          <w:tcPr>
            <w:tcW w:w="2591" w:type="dxa"/>
            <w:vAlign w:val="bottom"/>
          </w:tcPr>
          <w:p w14:paraId="6A1F33D9" w14:textId="1F2610AC" w:rsidR="00B22AB5" w:rsidRDefault="00B22AB5" w:rsidP="00B22AB5">
            <w:pPr>
              <w:pStyle w:val="ListParagraph"/>
              <w:ind w:left="0"/>
              <w:jc w:val="center"/>
            </w:pPr>
            <w:r>
              <w:t>2010</w:t>
            </w:r>
          </w:p>
        </w:tc>
        <w:tc>
          <w:tcPr>
            <w:tcW w:w="2591" w:type="dxa"/>
            <w:vAlign w:val="bottom"/>
          </w:tcPr>
          <w:p w14:paraId="4A150DD5" w14:textId="0FD2108E" w:rsidR="00B22AB5" w:rsidRDefault="00B773AB" w:rsidP="00B22AB5">
            <w:pPr>
              <w:pStyle w:val="ListParagraph"/>
              <w:ind w:left="0"/>
              <w:jc w:val="center"/>
            </w:pPr>
            <w:r>
              <w:t>2.2%</w:t>
            </w:r>
          </w:p>
        </w:tc>
        <w:tc>
          <w:tcPr>
            <w:tcW w:w="2592" w:type="dxa"/>
            <w:vAlign w:val="bottom"/>
          </w:tcPr>
          <w:p w14:paraId="24C083D7" w14:textId="4DCC7C55" w:rsidR="00B22AB5" w:rsidRDefault="00B773AB" w:rsidP="00B22AB5">
            <w:pPr>
              <w:pStyle w:val="ListParagraph"/>
              <w:ind w:left="0"/>
              <w:jc w:val="center"/>
            </w:pPr>
            <w:r>
              <w:t>112.7</w:t>
            </w:r>
          </w:p>
        </w:tc>
      </w:tr>
      <w:tr w:rsidR="00B22AB5" w14:paraId="784788D4" w14:textId="77777777" w:rsidTr="00B22AB5">
        <w:trPr>
          <w:trHeight w:val="422"/>
        </w:trPr>
        <w:tc>
          <w:tcPr>
            <w:tcW w:w="2591" w:type="dxa"/>
            <w:vAlign w:val="bottom"/>
          </w:tcPr>
          <w:p w14:paraId="609004A4" w14:textId="125A6457" w:rsidR="00B22AB5" w:rsidRDefault="00B22AB5" w:rsidP="00B22AB5">
            <w:pPr>
              <w:pStyle w:val="ListParagraph"/>
              <w:ind w:left="0"/>
              <w:jc w:val="center"/>
            </w:pPr>
            <w:r>
              <w:t>2011</w:t>
            </w:r>
          </w:p>
        </w:tc>
        <w:tc>
          <w:tcPr>
            <w:tcW w:w="2591" w:type="dxa"/>
            <w:vAlign w:val="bottom"/>
          </w:tcPr>
          <w:p w14:paraId="100EF1E8" w14:textId="0BF03158" w:rsidR="00B22AB5" w:rsidRDefault="00B773AB" w:rsidP="00B22AB5">
            <w:pPr>
              <w:pStyle w:val="ListParagraph"/>
              <w:ind w:left="0"/>
              <w:jc w:val="center"/>
            </w:pPr>
            <w:r>
              <w:t>3.4%</w:t>
            </w:r>
          </w:p>
        </w:tc>
        <w:tc>
          <w:tcPr>
            <w:tcW w:w="2592" w:type="dxa"/>
            <w:vAlign w:val="bottom"/>
          </w:tcPr>
          <w:p w14:paraId="2862FB18" w14:textId="5098161D" w:rsidR="00B22AB5" w:rsidRDefault="00B773AB" w:rsidP="00B22AB5">
            <w:pPr>
              <w:pStyle w:val="ListParagraph"/>
              <w:ind w:left="0"/>
              <w:jc w:val="center"/>
            </w:pPr>
            <w:r>
              <w:t>116.5</w:t>
            </w:r>
          </w:p>
        </w:tc>
      </w:tr>
      <w:tr w:rsidR="00B22AB5" w14:paraId="7ADCFD8B" w14:textId="77777777" w:rsidTr="00B22AB5">
        <w:trPr>
          <w:trHeight w:val="421"/>
        </w:trPr>
        <w:tc>
          <w:tcPr>
            <w:tcW w:w="2591" w:type="dxa"/>
            <w:vAlign w:val="bottom"/>
          </w:tcPr>
          <w:p w14:paraId="6B59274C" w14:textId="30C80684" w:rsidR="00B22AB5" w:rsidRDefault="00B22AB5" w:rsidP="00B22AB5">
            <w:pPr>
              <w:pStyle w:val="ListParagraph"/>
              <w:ind w:left="0"/>
              <w:jc w:val="center"/>
            </w:pPr>
            <w:r>
              <w:t>2012</w:t>
            </w:r>
          </w:p>
        </w:tc>
        <w:tc>
          <w:tcPr>
            <w:tcW w:w="2591" w:type="dxa"/>
            <w:vAlign w:val="bottom"/>
          </w:tcPr>
          <w:p w14:paraId="5645793B" w14:textId="46734917" w:rsidR="00B22AB5" w:rsidRDefault="00B773AB" w:rsidP="00B22AB5">
            <w:pPr>
              <w:pStyle w:val="ListParagraph"/>
              <w:ind w:left="0"/>
              <w:jc w:val="center"/>
            </w:pPr>
            <w:r>
              <w:t>4.5%</w:t>
            </w:r>
          </w:p>
        </w:tc>
        <w:tc>
          <w:tcPr>
            <w:tcW w:w="2592" w:type="dxa"/>
            <w:vAlign w:val="bottom"/>
          </w:tcPr>
          <w:p w14:paraId="4248B88E" w14:textId="6379B43A" w:rsidR="00B22AB5" w:rsidRDefault="00B773AB" w:rsidP="00B22AB5">
            <w:pPr>
              <w:pStyle w:val="ListParagraph"/>
              <w:ind w:left="0"/>
              <w:jc w:val="center"/>
            </w:pPr>
            <w:r>
              <w:t>121.8</w:t>
            </w:r>
          </w:p>
        </w:tc>
      </w:tr>
      <w:tr w:rsidR="00B22AB5" w14:paraId="4E0B7ADF" w14:textId="77777777" w:rsidTr="00B22AB5">
        <w:trPr>
          <w:trHeight w:val="422"/>
        </w:trPr>
        <w:tc>
          <w:tcPr>
            <w:tcW w:w="2591" w:type="dxa"/>
            <w:vAlign w:val="bottom"/>
          </w:tcPr>
          <w:p w14:paraId="0AF7B529" w14:textId="04AED68A" w:rsidR="00B22AB5" w:rsidRDefault="00B22AB5" w:rsidP="00B22AB5">
            <w:pPr>
              <w:pStyle w:val="ListParagraph"/>
              <w:ind w:left="0"/>
              <w:jc w:val="center"/>
            </w:pPr>
            <w:r>
              <w:t>2013</w:t>
            </w:r>
          </w:p>
        </w:tc>
        <w:tc>
          <w:tcPr>
            <w:tcW w:w="2591" w:type="dxa"/>
            <w:vAlign w:val="bottom"/>
          </w:tcPr>
          <w:p w14:paraId="5BED9C84" w14:textId="6B620F6C" w:rsidR="00B22AB5" w:rsidRDefault="00B773AB" w:rsidP="00B22AB5">
            <w:pPr>
              <w:pStyle w:val="ListParagraph"/>
              <w:ind w:left="0"/>
              <w:jc w:val="center"/>
            </w:pPr>
            <w:r>
              <w:t>2.8%</w:t>
            </w:r>
          </w:p>
        </w:tc>
        <w:tc>
          <w:tcPr>
            <w:tcW w:w="2592" w:type="dxa"/>
            <w:vAlign w:val="bottom"/>
          </w:tcPr>
          <w:p w14:paraId="459A5DC0" w14:textId="5DE05E3C" w:rsidR="00B22AB5" w:rsidRDefault="00B773AB" w:rsidP="00B22AB5">
            <w:pPr>
              <w:pStyle w:val="ListParagraph"/>
              <w:ind w:left="0"/>
              <w:jc w:val="center"/>
            </w:pPr>
            <w:r>
              <w:t>125.2</w:t>
            </w:r>
          </w:p>
        </w:tc>
      </w:tr>
      <w:tr w:rsidR="00B22AB5" w14:paraId="4666B903" w14:textId="77777777" w:rsidTr="00B22AB5">
        <w:trPr>
          <w:trHeight w:val="421"/>
        </w:trPr>
        <w:tc>
          <w:tcPr>
            <w:tcW w:w="2591" w:type="dxa"/>
            <w:vAlign w:val="bottom"/>
          </w:tcPr>
          <w:p w14:paraId="29759AF9" w14:textId="426924C7" w:rsidR="00B22AB5" w:rsidRDefault="00B22AB5" w:rsidP="00B22AB5">
            <w:pPr>
              <w:pStyle w:val="ListParagraph"/>
              <w:ind w:left="0"/>
              <w:jc w:val="center"/>
            </w:pPr>
            <w:r>
              <w:t>2014</w:t>
            </w:r>
          </w:p>
        </w:tc>
        <w:tc>
          <w:tcPr>
            <w:tcW w:w="2591" w:type="dxa"/>
            <w:vAlign w:val="bottom"/>
          </w:tcPr>
          <w:p w14:paraId="1FC713C2" w14:textId="11DBFF1D" w:rsidR="00B22AB5" w:rsidRDefault="00141812" w:rsidP="00B22AB5">
            <w:pPr>
              <w:pStyle w:val="ListParagraph"/>
              <w:ind w:left="0"/>
              <w:jc w:val="center"/>
            </w:pPr>
            <w:r>
              <w:t>2.7%</w:t>
            </w:r>
          </w:p>
        </w:tc>
        <w:tc>
          <w:tcPr>
            <w:tcW w:w="2592" w:type="dxa"/>
            <w:vAlign w:val="bottom"/>
          </w:tcPr>
          <w:p w14:paraId="334DB007" w14:textId="4EC0ACE7" w:rsidR="00B22AB5" w:rsidRDefault="00141812" w:rsidP="00B22AB5">
            <w:pPr>
              <w:pStyle w:val="ListParagraph"/>
              <w:ind w:left="0"/>
              <w:jc w:val="center"/>
            </w:pPr>
            <w:r>
              <w:t>128.6</w:t>
            </w:r>
          </w:p>
        </w:tc>
      </w:tr>
      <w:tr w:rsidR="00B22AB5" w14:paraId="0183D9EF" w14:textId="77777777" w:rsidTr="00B22AB5">
        <w:trPr>
          <w:trHeight w:val="422"/>
        </w:trPr>
        <w:tc>
          <w:tcPr>
            <w:tcW w:w="2591" w:type="dxa"/>
            <w:vAlign w:val="bottom"/>
          </w:tcPr>
          <w:p w14:paraId="6DD471F7" w14:textId="56B4CC6B" w:rsidR="00B22AB5" w:rsidRDefault="00B22AB5" w:rsidP="00B22AB5">
            <w:pPr>
              <w:pStyle w:val="ListParagraph"/>
              <w:ind w:left="0"/>
              <w:jc w:val="center"/>
            </w:pPr>
            <w:r>
              <w:t>2015</w:t>
            </w:r>
          </w:p>
        </w:tc>
        <w:tc>
          <w:tcPr>
            <w:tcW w:w="2591" w:type="dxa"/>
            <w:vAlign w:val="bottom"/>
          </w:tcPr>
          <w:p w14:paraId="0A2514AF" w14:textId="3026562E" w:rsidR="00B22AB5" w:rsidRDefault="00141812" w:rsidP="00B22AB5">
            <w:pPr>
              <w:pStyle w:val="ListParagraph"/>
              <w:ind w:left="0"/>
              <w:jc w:val="center"/>
            </w:pPr>
            <w:r>
              <w:t>1.5%</w:t>
            </w:r>
          </w:p>
        </w:tc>
        <w:tc>
          <w:tcPr>
            <w:tcW w:w="2592" w:type="dxa"/>
            <w:vAlign w:val="bottom"/>
          </w:tcPr>
          <w:p w14:paraId="4B972C1B" w14:textId="76DC7DDB" w:rsidR="00B22AB5" w:rsidRDefault="00141812" w:rsidP="00B22AB5">
            <w:pPr>
              <w:pStyle w:val="ListParagraph"/>
              <w:ind w:left="0"/>
              <w:jc w:val="center"/>
            </w:pPr>
            <w:r>
              <w:t>130.5</w:t>
            </w:r>
          </w:p>
        </w:tc>
      </w:tr>
      <w:tr w:rsidR="00B22AB5" w14:paraId="5B8A766D" w14:textId="77777777" w:rsidTr="00B22AB5">
        <w:trPr>
          <w:trHeight w:val="421"/>
        </w:trPr>
        <w:tc>
          <w:tcPr>
            <w:tcW w:w="2591" w:type="dxa"/>
            <w:vAlign w:val="bottom"/>
          </w:tcPr>
          <w:p w14:paraId="3A4C5C4C" w14:textId="711314D0" w:rsidR="00B22AB5" w:rsidRDefault="00B22AB5" w:rsidP="00B22AB5">
            <w:pPr>
              <w:pStyle w:val="ListParagraph"/>
              <w:ind w:left="0"/>
              <w:jc w:val="center"/>
            </w:pPr>
            <w:r>
              <w:t>2016</w:t>
            </w:r>
          </w:p>
        </w:tc>
        <w:tc>
          <w:tcPr>
            <w:tcW w:w="2591" w:type="dxa"/>
            <w:vAlign w:val="bottom"/>
          </w:tcPr>
          <w:p w14:paraId="1E7DAB7A" w14:textId="60A6DA8B" w:rsidR="00B22AB5" w:rsidRDefault="00141812" w:rsidP="00B22AB5">
            <w:pPr>
              <w:pStyle w:val="ListParagraph"/>
              <w:ind w:left="0"/>
              <w:jc w:val="center"/>
            </w:pPr>
            <w:r>
              <w:t>0.1%</w:t>
            </w:r>
          </w:p>
        </w:tc>
        <w:tc>
          <w:tcPr>
            <w:tcW w:w="2592" w:type="dxa"/>
            <w:vAlign w:val="bottom"/>
          </w:tcPr>
          <w:p w14:paraId="56281A6C" w14:textId="135EBB4C" w:rsidR="00B22AB5" w:rsidRDefault="00141812" w:rsidP="00B22AB5">
            <w:pPr>
              <w:pStyle w:val="ListParagraph"/>
              <w:ind w:left="0"/>
              <w:jc w:val="center"/>
            </w:pPr>
            <w:r>
              <w:t>130.6</w:t>
            </w:r>
          </w:p>
        </w:tc>
      </w:tr>
      <w:tr w:rsidR="00B22AB5" w14:paraId="2CD3457C" w14:textId="77777777" w:rsidTr="00B22AB5">
        <w:trPr>
          <w:trHeight w:val="422"/>
        </w:trPr>
        <w:tc>
          <w:tcPr>
            <w:tcW w:w="2591" w:type="dxa"/>
            <w:vAlign w:val="bottom"/>
          </w:tcPr>
          <w:p w14:paraId="69EE2197" w14:textId="041257A4" w:rsidR="00B22AB5" w:rsidRDefault="00B22AB5" w:rsidP="00B22AB5">
            <w:pPr>
              <w:pStyle w:val="ListParagraph"/>
              <w:ind w:left="0"/>
              <w:jc w:val="center"/>
            </w:pPr>
            <w:r>
              <w:t>2017</w:t>
            </w:r>
          </w:p>
        </w:tc>
        <w:tc>
          <w:tcPr>
            <w:tcW w:w="2591" w:type="dxa"/>
            <w:vAlign w:val="bottom"/>
          </w:tcPr>
          <w:p w14:paraId="6F8B9091" w14:textId="18F592F0" w:rsidR="00B22AB5" w:rsidRDefault="00141812" w:rsidP="00B22AB5">
            <w:pPr>
              <w:pStyle w:val="ListParagraph"/>
              <w:ind w:left="0"/>
              <w:jc w:val="center"/>
            </w:pPr>
            <w:r>
              <w:t>0.3%</w:t>
            </w:r>
          </w:p>
        </w:tc>
        <w:tc>
          <w:tcPr>
            <w:tcW w:w="2592" w:type="dxa"/>
            <w:vAlign w:val="bottom"/>
          </w:tcPr>
          <w:p w14:paraId="58360E66" w14:textId="2B8894B5" w:rsidR="00B22AB5" w:rsidRDefault="00141812" w:rsidP="00B22AB5">
            <w:pPr>
              <w:pStyle w:val="ListParagraph"/>
              <w:ind w:left="0"/>
              <w:jc w:val="center"/>
            </w:pPr>
            <w:r>
              <w:t>131.0</w:t>
            </w:r>
          </w:p>
        </w:tc>
      </w:tr>
      <w:tr w:rsidR="00B22AB5" w14:paraId="15573AA6" w14:textId="77777777" w:rsidTr="00B22AB5">
        <w:trPr>
          <w:trHeight w:val="421"/>
        </w:trPr>
        <w:tc>
          <w:tcPr>
            <w:tcW w:w="2591" w:type="dxa"/>
            <w:vAlign w:val="bottom"/>
          </w:tcPr>
          <w:p w14:paraId="401D6523" w14:textId="4EB8ED98" w:rsidR="00B22AB5" w:rsidRDefault="00B22AB5" w:rsidP="00B22AB5">
            <w:pPr>
              <w:pStyle w:val="ListParagraph"/>
              <w:ind w:left="0"/>
              <w:jc w:val="center"/>
            </w:pPr>
            <w:r>
              <w:t>2018</w:t>
            </w:r>
          </w:p>
        </w:tc>
        <w:tc>
          <w:tcPr>
            <w:tcW w:w="2591" w:type="dxa"/>
            <w:vAlign w:val="bottom"/>
          </w:tcPr>
          <w:p w14:paraId="42BDC74E" w14:textId="5E561F4F" w:rsidR="00B22AB5" w:rsidRDefault="00141812" w:rsidP="00B22AB5">
            <w:pPr>
              <w:pStyle w:val="ListParagraph"/>
              <w:ind w:left="0"/>
              <w:jc w:val="center"/>
            </w:pPr>
            <w:r>
              <w:t>2.9%</w:t>
            </w:r>
          </w:p>
        </w:tc>
        <w:tc>
          <w:tcPr>
            <w:tcW w:w="2592" w:type="dxa"/>
            <w:vAlign w:val="bottom"/>
          </w:tcPr>
          <w:p w14:paraId="0593E224" w14:textId="79D19D22" w:rsidR="00B22AB5" w:rsidRDefault="00141812" w:rsidP="00B22AB5">
            <w:pPr>
              <w:pStyle w:val="ListParagraph"/>
              <w:ind w:left="0"/>
              <w:jc w:val="center"/>
            </w:pPr>
            <w:r>
              <w:t>134.8</w:t>
            </w:r>
          </w:p>
        </w:tc>
      </w:tr>
      <w:tr w:rsidR="00B22AB5" w14:paraId="5676927A" w14:textId="77777777" w:rsidTr="00B22AB5">
        <w:trPr>
          <w:trHeight w:val="422"/>
        </w:trPr>
        <w:tc>
          <w:tcPr>
            <w:tcW w:w="2591" w:type="dxa"/>
            <w:vAlign w:val="bottom"/>
          </w:tcPr>
          <w:p w14:paraId="4E71B54A" w14:textId="277FB0D8" w:rsidR="00B22AB5" w:rsidRDefault="00B22AB5" w:rsidP="00B22AB5">
            <w:pPr>
              <w:pStyle w:val="ListParagraph"/>
              <w:ind w:left="0"/>
              <w:jc w:val="center"/>
            </w:pPr>
            <w:r>
              <w:t>2019</w:t>
            </w:r>
          </w:p>
        </w:tc>
        <w:tc>
          <w:tcPr>
            <w:tcW w:w="2591" w:type="dxa"/>
            <w:vAlign w:val="bottom"/>
          </w:tcPr>
          <w:p w14:paraId="7B44C08E" w14:textId="143D105A" w:rsidR="00B22AB5" w:rsidRDefault="00141812" w:rsidP="00B22AB5">
            <w:pPr>
              <w:pStyle w:val="ListParagraph"/>
              <w:ind w:left="0"/>
              <w:jc w:val="center"/>
            </w:pPr>
            <w:r>
              <w:t>2.4%</w:t>
            </w:r>
          </w:p>
        </w:tc>
        <w:tc>
          <w:tcPr>
            <w:tcW w:w="2592" w:type="dxa"/>
            <w:vAlign w:val="bottom"/>
          </w:tcPr>
          <w:p w14:paraId="179BFE46" w14:textId="0954CE5F" w:rsidR="00B22AB5" w:rsidRDefault="00141812" w:rsidP="00B22AB5">
            <w:pPr>
              <w:pStyle w:val="ListParagraph"/>
              <w:ind w:left="0"/>
              <w:jc w:val="center"/>
            </w:pPr>
            <w:r>
              <w:t>138.0</w:t>
            </w:r>
          </w:p>
        </w:tc>
      </w:tr>
      <w:tr w:rsidR="00B22AB5" w14:paraId="791851E4" w14:textId="77777777" w:rsidTr="00B22AB5">
        <w:trPr>
          <w:trHeight w:val="421"/>
        </w:trPr>
        <w:tc>
          <w:tcPr>
            <w:tcW w:w="2591" w:type="dxa"/>
            <w:vAlign w:val="bottom"/>
          </w:tcPr>
          <w:p w14:paraId="1DDE445D" w14:textId="68B01307" w:rsidR="00B22AB5" w:rsidRDefault="00B22AB5" w:rsidP="00B22AB5">
            <w:pPr>
              <w:pStyle w:val="ListParagraph"/>
              <w:ind w:left="0"/>
              <w:jc w:val="center"/>
            </w:pPr>
            <w:r>
              <w:t>2020</w:t>
            </w:r>
          </w:p>
        </w:tc>
        <w:tc>
          <w:tcPr>
            <w:tcW w:w="2591" w:type="dxa"/>
            <w:vAlign w:val="bottom"/>
          </w:tcPr>
          <w:p w14:paraId="72F168CB" w14:textId="04DCFCC2" w:rsidR="00B22AB5" w:rsidRDefault="00141812" w:rsidP="00B22AB5">
            <w:pPr>
              <w:pStyle w:val="ListParagraph"/>
              <w:ind w:left="0"/>
              <w:jc w:val="center"/>
            </w:pPr>
            <w:r>
              <w:t>2.0%</w:t>
            </w:r>
          </w:p>
        </w:tc>
        <w:tc>
          <w:tcPr>
            <w:tcW w:w="2592" w:type="dxa"/>
            <w:vAlign w:val="bottom"/>
          </w:tcPr>
          <w:p w14:paraId="324E18C0" w14:textId="25F79C5A" w:rsidR="00B22AB5" w:rsidRDefault="00141812" w:rsidP="00B22AB5">
            <w:pPr>
              <w:pStyle w:val="ListParagraph"/>
              <w:ind w:left="0"/>
              <w:jc w:val="center"/>
            </w:pPr>
            <w:r>
              <w:t>140.8</w:t>
            </w:r>
          </w:p>
        </w:tc>
      </w:tr>
      <w:tr w:rsidR="00B22AB5" w14:paraId="139E75DE" w14:textId="77777777" w:rsidTr="00B22AB5">
        <w:trPr>
          <w:trHeight w:val="422"/>
        </w:trPr>
        <w:tc>
          <w:tcPr>
            <w:tcW w:w="2591" w:type="dxa"/>
            <w:vAlign w:val="bottom"/>
          </w:tcPr>
          <w:p w14:paraId="350A975B" w14:textId="45D6D519" w:rsidR="00B22AB5" w:rsidRDefault="00B22AB5" w:rsidP="00B22AB5">
            <w:pPr>
              <w:pStyle w:val="ListParagraph"/>
              <w:ind w:left="0"/>
              <w:jc w:val="center"/>
            </w:pPr>
            <w:r>
              <w:t>2021</w:t>
            </w:r>
          </w:p>
        </w:tc>
        <w:tc>
          <w:tcPr>
            <w:tcW w:w="2591" w:type="dxa"/>
            <w:vAlign w:val="bottom"/>
          </w:tcPr>
          <w:p w14:paraId="725D5DE4" w14:textId="4E42BA40" w:rsidR="00B22AB5" w:rsidRDefault="00141812" w:rsidP="00B22AB5">
            <w:pPr>
              <w:pStyle w:val="ListParagraph"/>
              <w:ind w:left="0"/>
              <w:jc w:val="center"/>
            </w:pPr>
            <w:r>
              <w:t>0.5%</w:t>
            </w:r>
          </w:p>
        </w:tc>
        <w:tc>
          <w:tcPr>
            <w:tcW w:w="2592" w:type="dxa"/>
            <w:vAlign w:val="bottom"/>
          </w:tcPr>
          <w:p w14:paraId="02E7D9E2" w14:textId="45580DF2" w:rsidR="00B22AB5" w:rsidRDefault="00141812" w:rsidP="00B22AB5">
            <w:pPr>
              <w:pStyle w:val="ListParagraph"/>
              <w:ind w:left="0"/>
              <w:jc w:val="center"/>
            </w:pPr>
            <w:r>
              <w:t>141.5</w:t>
            </w:r>
          </w:p>
        </w:tc>
      </w:tr>
      <w:tr w:rsidR="00B22AB5" w14:paraId="6308354F" w14:textId="77777777" w:rsidTr="00B22AB5">
        <w:trPr>
          <w:trHeight w:val="421"/>
        </w:trPr>
        <w:tc>
          <w:tcPr>
            <w:tcW w:w="2591" w:type="dxa"/>
            <w:vAlign w:val="bottom"/>
          </w:tcPr>
          <w:p w14:paraId="411C730F" w14:textId="5DBA0CF4" w:rsidR="00B22AB5" w:rsidRDefault="00B22AB5" w:rsidP="00B22AB5">
            <w:pPr>
              <w:pStyle w:val="ListParagraph"/>
              <w:ind w:left="0"/>
              <w:jc w:val="center"/>
            </w:pPr>
            <w:r>
              <w:t>2022</w:t>
            </w:r>
          </w:p>
        </w:tc>
        <w:tc>
          <w:tcPr>
            <w:tcW w:w="2591" w:type="dxa"/>
            <w:vAlign w:val="bottom"/>
          </w:tcPr>
          <w:p w14:paraId="7B76D3C6" w14:textId="7542AFC0" w:rsidR="00B22AB5" w:rsidRDefault="00141812" w:rsidP="00B22AB5">
            <w:pPr>
              <w:pStyle w:val="ListParagraph"/>
              <w:ind w:left="0"/>
              <w:jc w:val="center"/>
            </w:pPr>
            <w:r>
              <w:t>2.1%</w:t>
            </w:r>
          </w:p>
        </w:tc>
        <w:tc>
          <w:tcPr>
            <w:tcW w:w="2592" w:type="dxa"/>
            <w:vAlign w:val="bottom"/>
          </w:tcPr>
          <w:p w14:paraId="18A73E28" w14:textId="7193DB17" w:rsidR="00B22AB5" w:rsidRDefault="00141812" w:rsidP="00B22AB5">
            <w:pPr>
              <w:pStyle w:val="ListParagraph"/>
              <w:ind w:left="0"/>
              <w:jc w:val="center"/>
            </w:pPr>
            <w:r>
              <w:t>144.5</w:t>
            </w:r>
          </w:p>
        </w:tc>
      </w:tr>
      <w:tr w:rsidR="00B22AB5" w14:paraId="0B348D0D" w14:textId="77777777" w:rsidTr="00B22AB5">
        <w:trPr>
          <w:trHeight w:val="422"/>
        </w:trPr>
        <w:tc>
          <w:tcPr>
            <w:tcW w:w="2591" w:type="dxa"/>
            <w:vAlign w:val="bottom"/>
          </w:tcPr>
          <w:p w14:paraId="4CF1FB0E" w14:textId="458FC38F" w:rsidR="00B22AB5" w:rsidRDefault="00B22AB5" w:rsidP="00B22AB5">
            <w:pPr>
              <w:pStyle w:val="ListParagraph"/>
              <w:ind w:left="0"/>
              <w:jc w:val="center"/>
            </w:pPr>
            <w:r>
              <w:t>2023</w:t>
            </w:r>
          </w:p>
        </w:tc>
        <w:tc>
          <w:tcPr>
            <w:tcW w:w="2591" w:type="dxa"/>
            <w:vAlign w:val="bottom"/>
          </w:tcPr>
          <w:p w14:paraId="7A391C61" w14:textId="0F2E8EC2" w:rsidR="00B22AB5" w:rsidRDefault="00141812" w:rsidP="00B22AB5">
            <w:pPr>
              <w:pStyle w:val="ListParagraph"/>
              <w:ind w:left="0"/>
              <w:jc w:val="center"/>
            </w:pPr>
            <w:r>
              <w:t>9.1%</w:t>
            </w:r>
          </w:p>
        </w:tc>
        <w:tc>
          <w:tcPr>
            <w:tcW w:w="2592" w:type="dxa"/>
            <w:vAlign w:val="bottom"/>
          </w:tcPr>
          <w:p w14:paraId="7C029C56" w14:textId="6DD3E623" w:rsidR="00B22AB5" w:rsidRDefault="00141812" w:rsidP="00B22AB5">
            <w:pPr>
              <w:pStyle w:val="ListParagraph"/>
              <w:ind w:left="0"/>
              <w:jc w:val="center"/>
            </w:pPr>
            <w:r>
              <w:t>157.6</w:t>
            </w:r>
          </w:p>
        </w:tc>
      </w:tr>
    </w:tbl>
    <w:p w14:paraId="6068AFDD" w14:textId="0983CFAC" w:rsidR="00EA037F" w:rsidRDefault="00EA037F" w:rsidP="00427AEC">
      <w:pPr>
        <w:spacing w:line="276" w:lineRule="auto"/>
      </w:pPr>
    </w:p>
    <w:p w14:paraId="7FB571E8" w14:textId="3AC4310B" w:rsidR="002F39B4" w:rsidRDefault="00427AEC" w:rsidP="00427AEC">
      <w:pPr>
        <w:pStyle w:val="ListParagraph"/>
        <w:numPr>
          <w:ilvl w:val="0"/>
          <w:numId w:val="10"/>
        </w:numPr>
        <w:spacing w:line="276" w:lineRule="auto"/>
      </w:pPr>
      <w:r>
        <w:t>As well as the size of the impact, it is also important to appreciate the disproportionate effect on members with certain protected characteristics.</w:t>
      </w:r>
    </w:p>
    <w:p w14:paraId="1FE1B22B" w14:textId="77777777" w:rsidR="00427AEC" w:rsidRDefault="00427AEC" w:rsidP="00427AEC">
      <w:pPr>
        <w:pStyle w:val="ListParagraph"/>
        <w:spacing w:line="276" w:lineRule="auto"/>
      </w:pPr>
    </w:p>
    <w:p w14:paraId="4AC88165" w14:textId="642805A4" w:rsidR="00354C97" w:rsidRDefault="00427AEC" w:rsidP="0081497E">
      <w:pPr>
        <w:pStyle w:val="ListParagraph"/>
        <w:numPr>
          <w:ilvl w:val="0"/>
          <w:numId w:val="10"/>
        </w:numPr>
        <w:spacing w:line="276" w:lineRule="auto"/>
      </w:pPr>
      <w:r>
        <w:t>In May 2023, Prospect submitted a Freedom of Information request asking for the proportion of PPF members who were entitled to (1) no inflation protection and (2) some inflation protection by age and gender. The response</w:t>
      </w:r>
      <w:r w:rsidR="00354C97">
        <w:rPr>
          <w:rStyle w:val="FootnoteReference"/>
        </w:rPr>
        <w:footnoteReference w:id="10"/>
      </w:r>
      <w:r w:rsidR="00354C97">
        <w:t xml:space="preserve"> showed that women </w:t>
      </w:r>
      <w:r w:rsidR="00431E2A">
        <w:lastRenderedPageBreak/>
        <w:t xml:space="preserve">and older members </w:t>
      </w:r>
      <w:r w:rsidR="00354C97">
        <w:t xml:space="preserve">were more likely to receive compensation that did not attract any inflation increases. The data by sex </w:t>
      </w:r>
      <w:r w:rsidR="00431E2A">
        <w:t xml:space="preserve">and age </w:t>
      </w:r>
      <w:r w:rsidR="00354C97">
        <w:t>is set out in the following tables.</w:t>
      </w:r>
    </w:p>
    <w:p w14:paraId="0918CA2C" w14:textId="77777777" w:rsidR="00354C97" w:rsidRDefault="00354C97" w:rsidP="00354C97">
      <w:pPr>
        <w:pStyle w:val="ListParagraph"/>
      </w:pPr>
    </w:p>
    <w:tbl>
      <w:tblPr>
        <w:tblStyle w:val="TableGrid"/>
        <w:tblW w:w="0" w:type="auto"/>
        <w:tblInd w:w="720" w:type="dxa"/>
        <w:tblLook w:val="04A0" w:firstRow="1" w:lastRow="0" w:firstColumn="1" w:lastColumn="0" w:noHBand="0" w:noVBand="1"/>
      </w:tblPr>
      <w:tblGrid>
        <w:gridCol w:w="6"/>
        <w:gridCol w:w="2583"/>
        <w:gridCol w:w="2592"/>
        <w:gridCol w:w="2593"/>
      </w:tblGrid>
      <w:tr w:rsidR="00354C97" w14:paraId="3F717551" w14:textId="77777777" w:rsidTr="005803A7">
        <w:trPr>
          <w:gridBefore w:val="1"/>
          <w:wBefore w:w="6" w:type="dxa"/>
          <w:trHeight w:val="458"/>
        </w:trPr>
        <w:tc>
          <w:tcPr>
            <w:tcW w:w="2583" w:type="dxa"/>
            <w:vAlign w:val="bottom"/>
          </w:tcPr>
          <w:p w14:paraId="2DAB6C0E" w14:textId="77777777" w:rsidR="00354C97" w:rsidRDefault="00354C97" w:rsidP="00354C97">
            <w:pPr>
              <w:pStyle w:val="ListParagraph"/>
              <w:spacing w:line="276" w:lineRule="auto"/>
              <w:ind w:left="0"/>
              <w:jc w:val="center"/>
            </w:pPr>
          </w:p>
        </w:tc>
        <w:tc>
          <w:tcPr>
            <w:tcW w:w="2592" w:type="dxa"/>
            <w:vAlign w:val="bottom"/>
          </w:tcPr>
          <w:p w14:paraId="245D13F4" w14:textId="7D9E63D6" w:rsidR="00354C97" w:rsidRDefault="00354C97" w:rsidP="00354C97">
            <w:pPr>
              <w:pStyle w:val="ListParagraph"/>
              <w:spacing w:line="276" w:lineRule="auto"/>
              <w:ind w:left="0"/>
              <w:jc w:val="center"/>
            </w:pPr>
            <w:r>
              <w:t>No increase</w:t>
            </w:r>
          </w:p>
        </w:tc>
        <w:tc>
          <w:tcPr>
            <w:tcW w:w="2593" w:type="dxa"/>
            <w:vAlign w:val="bottom"/>
          </w:tcPr>
          <w:p w14:paraId="21D33A54" w14:textId="24C6692C" w:rsidR="00354C97" w:rsidRDefault="00354C97" w:rsidP="00354C97">
            <w:pPr>
              <w:pStyle w:val="ListParagraph"/>
              <w:spacing w:line="276" w:lineRule="auto"/>
              <w:ind w:left="0"/>
              <w:jc w:val="center"/>
            </w:pPr>
            <w:r>
              <w:t>Some increase</w:t>
            </w:r>
          </w:p>
        </w:tc>
      </w:tr>
      <w:tr w:rsidR="00354C97" w14:paraId="1702D5A9" w14:textId="77777777" w:rsidTr="005803A7">
        <w:trPr>
          <w:gridBefore w:val="1"/>
          <w:wBefore w:w="6" w:type="dxa"/>
          <w:trHeight w:val="458"/>
        </w:trPr>
        <w:tc>
          <w:tcPr>
            <w:tcW w:w="2583" w:type="dxa"/>
            <w:vAlign w:val="bottom"/>
          </w:tcPr>
          <w:p w14:paraId="7EAE853B" w14:textId="28B7298B" w:rsidR="00354C97" w:rsidRDefault="00354C97" w:rsidP="00354C97">
            <w:pPr>
              <w:pStyle w:val="ListParagraph"/>
              <w:spacing w:line="276" w:lineRule="auto"/>
              <w:ind w:left="0"/>
              <w:jc w:val="center"/>
            </w:pPr>
            <w:r>
              <w:t>Men</w:t>
            </w:r>
          </w:p>
        </w:tc>
        <w:tc>
          <w:tcPr>
            <w:tcW w:w="2592" w:type="dxa"/>
            <w:vAlign w:val="bottom"/>
          </w:tcPr>
          <w:p w14:paraId="083A1C5A" w14:textId="3289B208" w:rsidR="00354C97" w:rsidRDefault="00354C97" w:rsidP="00354C97">
            <w:pPr>
              <w:pStyle w:val="ListParagraph"/>
              <w:spacing w:line="276" w:lineRule="auto"/>
              <w:ind w:left="0"/>
              <w:jc w:val="center"/>
            </w:pPr>
            <w:r>
              <w:t>24.6%</w:t>
            </w:r>
          </w:p>
        </w:tc>
        <w:tc>
          <w:tcPr>
            <w:tcW w:w="2593" w:type="dxa"/>
            <w:vAlign w:val="bottom"/>
          </w:tcPr>
          <w:p w14:paraId="385E5C2C" w14:textId="32BD1B54" w:rsidR="00354C97" w:rsidRDefault="00354C97" w:rsidP="00354C97">
            <w:pPr>
              <w:pStyle w:val="ListParagraph"/>
              <w:spacing w:line="276" w:lineRule="auto"/>
              <w:ind w:left="0"/>
              <w:jc w:val="center"/>
            </w:pPr>
            <w:r>
              <w:t>75.4%</w:t>
            </w:r>
          </w:p>
        </w:tc>
      </w:tr>
      <w:tr w:rsidR="00354C97" w14:paraId="2A4F99BE" w14:textId="77777777" w:rsidTr="005803A7">
        <w:trPr>
          <w:gridBefore w:val="1"/>
          <w:wBefore w:w="6" w:type="dxa"/>
          <w:trHeight w:val="458"/>
        </w:trPr>
        <w:tc>
          <w:tcPr>
            <w:tcW w:w="2583" w:type="dxa"/>
            <w:vAlign w:val="bottom"/>
          </w:tcPr>
          <w:p w14:paraId="62CB676B" w14:textId="53EAA788" w:rsidR="00354C97" w:rsidRDefault="00354C97" w:rsidP="00354C97">
            <w:pPr>
              <w:pStyle w:val="ListParagraph"/>
              <w:spacing w:line="276" w:lineRule="auto"/>
              <w:ind w:left="0"/>
              <w:jc w:val="center"/>
            </w:pPr>
            <w:r>
              <w:t>Women</w:t>
            </w:r>
          </w:p>
        </w:tc>
        <w:tc>
          <w:tcPr>
            <w:tcW w:w="2592" w:type="dxa"/>
            <w:vAlign w:val="bottom"/>
          </w:tcPr>
          <w:p w14:paraId="304B6876" w14:textId="293A67EC" w:rsidR="00354C97" w:rsidRDefault="00354C97" w:rsidP="00354C97">
            <w:pPr>
              <w:pStyle w:val="ListParagraph"/>
              <w:spacing w:line="276" w:lineRule="auto"/>
              <w:ind w:left="0"/>
              <w:jc w:val="center"/>
            </w:pPr>
            <w:r>
              <w:t>34.7%</w:t>
            </w:r>
          </w:p>
        </w:tc>
        <w:tc>
          <w:tcPr>
            <w:tcW w:w="2593" w:type="dxa"/>
            <w:vAlign w:val="bottom"/>
          </w:tcPr>
          <w:p w14:paraId="57F3429E" w14:textId="03DE1598" w:rsidR="00354C97" w:rsidRDefault="00354C97" w:rsidP="00354C97">
            <w:pPr>
              <w:pStyle w:val="ListParagraph"/>
              <w:spacing w:line="276" w:lineRule="auto"/>
              <w:ind w:left="0"/>
              <w:jc w:val="center"/>
            </w:pPr>
            <w:r>
              <w:t>65.3%</w:t>
            </w:r>
          </w:p>
        </w:tc>
      </w:tr>
      <w:tr w:rsidR="005803A7" w14:paraId="388A41A6" w14:textId="77777777" w:rsidTr="005803A7">
        <w:tc>
          <w:tcPr>
            <w:tcW w:w="2589" w:type="dxa"/>
            <w:gridSpan w:val="2"/>
            <w:tcBorders>
              <w:top w:val="nil"/>
              <w:left w:val="nil"/>
              <w:bottom w:val="nil"/>
              <w:right w:val="nil"/>
            </w:tcBorders>
            <w:vAlign w:val="bottom"/>
          </w:tcPr>
          <w:p w14:paraId="633E54A3" w14:textId="2B053F51" w:rsidR="005803A7" w:rsidRDefault="005803A7" w:rsidP="005803A7">
            <w:pPr>
              <w:pStyle w:val="ListParagraph"/>
              <w:spacing w:line="276" w:lineRule="auto"/>
              <w:ind w:left="0"/>
            </w:pPr>
          </w:p>
        </w:tc>
        <w:tc>
          <w:tcPr>
            <w:tcW w:w="2592" w:type="dxa"/>
            <w:tcBorders>
              <w:top w:val="nil"/>
              <w:left w:val="nil"/>
              <w:bottom w:val="nil"/>
              <w:right w:val="nil"/>
            </w:tcBorders>
            <w:vAlign w:val="bottom"/>
          </w:tcPr>
          <w:p w14:paraId="6941E74D" w14:textId="77777777" w:rsidR="005803A7" w:rsidRDefault="005803A7" w:rsidP="00354C97">
            <w:pPr>
              <w:pStyle w:val="ListParagraph"/>
              <w:spacing w:line="276" w:lineRule="auto"/>
              <w:ind w:left="0"/>
              <w:jc w:val="center"/>
            </w:pPr>
          </w:p>
        </w:tc>
        <w:tc>
          <w:tcPr>
            <w:tcW w:w="2593" w:type="dxa"/>
            <w:tcBorders>
              <w:top w:val="nil"/>
              <w:left w:val="nil"/>
              <w:bottom w:val="nil"/>
              <w:right w:val="nil"/>
            </w:tcBorders>
            <w:vAlign w:val="bottom"/>
          </w:tcPr>
          <w:p w14:paraId="20535901" w14:textId="77777777" w:rsidR="005803A7" w:rsidRDefault="005803A7" w:rsidP="00354C97">
            <w:pPr>
              <w:pStyle w:val="ListParagraph"/>
              <w:spacing w:line="276" w:lineRule="auto"/>
              <w:ind w:left="0"/>
              <w:jc w:val="center"/>
            </w:pPr>
          </w:p>
        </w:tc>
      </w:tr>
      <w:tr w:rsidR="00354C97" w14:paraId="582C68F9" w14:textId="77777777" w:rsidTr="005803A7">
        <w:tc>
          <w:tcPr>
            <w:tcW w:w="2589" w:type="dxa"/>
            <w:gridSpan w:val="2"/>
            <w:vAlign w:val="bottom"/>
          </w:tcPr>
          <w:p w14:paraId="42BEB432" w14:textId="77777777" w:rsidR="00354C97" w:rsidRDefault="00354C97" w:rsidP="00354C97">
            <w:pPr>
              <w:pStyle w:val="ListParagraph"/>
              <w:spacing w:line="276" w:lineRule="auto"/>
              <w:ind w:left="0"/>
              <w:jc w:val="center"/>
            </w:pPr>
          </w:p>
        </w:tc>
        <w:tc>
          <w:tcPr>
            <w:tcW w:w="2592" w:type="dxa"/>
            <w:vAlign w:val="bottom"/>
          </w:tcPr>
          <w:p w14:paraId="2913BFE7" w14:textId="22B22F87" w:rsidR="00354C97" w:rsidRDefault="00354C97" w:rsidP="00354C97">
            <w:pPr>
              <w:pStyle w:val="ListParagraph"/>
              <w:spacing w:line="276" w:lineRule="auto"/>
              <w:ind w:left="0"/>
              <w:jc w:val="center"/>
            </w:pPr>
            <w:r>
              <w:t>No increase</w:t>
            </w:r>
          </w:p>
        </w:tc>
        <w:tc>
          <w:tcPr>
            <w:tcW w:w="2593" w:type="dxa"/>
            <w:vAlign w:val="bottom"/>
          </w:tcPr>
          <w:p w14:paraId="75B5BD4F" w14:textId="7A386940" w:rsidR="00354C97" w:rsidRDefault="00354C97" w:rsidP="00354C97">
            <w:pPr>
              <w:pStyle w:val="ListParagraph"/>
              <w:spacing w:line="276" w:lineRule="auto"/>
              <w:ind w:left="0"/>
              <w:jc w:val="center"/>
            </w:pPr>
            <w:r>
              <w:t>Some increase</w:t>
            </w:r>
          </w:p>
        </w:tc>
      </w:tr>
      <w:tr w:rsidR="00354C97" w14:paraId="33898C94" w14:textId="77777777" w:rsidTr="005803A7">
        <w:tc>
          <w:tcPr>
            <w:tcW w:w="2589" w:type="dxa"/>
            <w:gridSpan w:val="2"/>
            <w:vAlign w:val="bottom"/>
          </w:tcPr>
          <w:p w14:paraId="3AC3FA3D" w14:textId="0B9223BF" w:rsidR="00354C97" w:rsidRDefault="00354C97" w:rsidP="00354C97">
            <w:pPr>
              <w:pStyle w:val="ListParagraph"/>
              <w:spacing w:line="276" w:lineRule="auto"/>
              <w:ind w:left="0"/>
              <w:jc w:val="center"/>
            </w:pPr>
            <w:r>
              <w:t>Under 65</w:t>
            </w:r>
          </w:p>
        </w:tc>
        <w:tc>
          <w:tcPr>
            <w:tcW w:w="2592" w:type="dxa"/>
            <w:vAlign w:val="bottom"/>
          </w:tcPr>
          <w:p w14:paraId="0B63D194" w14:textId="20954F09" w:rsidR="00354C97" w:rsidRDefault="004427FC" w:rsidP="00354C97">
            <w:pPr>
              <w:pStyle w:val="ListParagraph"/>
              <w:spacing w:line="276" w:lineRule="auto"/>
              <w:ind w:left="0"/>
              <w:jc w:val="center"/>
            </w:pPr>
            <w:r>
              <w:t>18.0%</w:t>
            </w:r>
          </w:p>
        </w:tc>
        <w:tc>
          <w:tcPr>
            <w:tcW w:w="2593" w:type="dxa"/>
            <w:vAlign w:val="bottom"/>
          </w:tcPr>
          <w:p w14:paraId="0F6BBEF6" w14:textId="47B66741" w:rsidR="00354C97" w:rsidRDefault="004427FC" w:rsidP="00354C97">
            <w:pPr>
              <w:pStyle w:val="ListParagraph"/>
              <w:spacing w:line="276" w:lineRule="auto"/>
              <w:ind w:left="0"/>
              <w:jc w:val="center"/>
            </w:pPr>
            <w:r>
              <w:t>82.0%</w:t>
            </w:r>
          </w:p>
        </w:tc>
      </w:tr>
      <w:tr w:rsidR="00354C97" w14:paraId="0A461B7E" w14:textId="77777777" w:rsidTr="005803A7">
        <w:tc>
          <w:tcPr>
            <w:tcW w:w="2589" w:type="dxa"/>
            <w:gridSpan w:val="2"/>
            <w:vAlign w:val="bottom"/>
          </w:tcPr>
          <w:p w14:paraId="3EE2DFDC" w14:textId="4074388E" w:rsidR="00354C97" w:rsidRDefault="00354C97" w:rsidP="00354C97">
            <w:pPr>
              <w:pStyle w:val="ListParagraph"/>
              <w:spacing w:line="276" w:lineRule="auto"/>
              <w:ind w:left="0"/>
              <w:jc w:val="center"/>
            </w:pPr>
            <w:r>
              <w:t>65 to 75</w:t>
            </w:r>
          </w:p>
        </w:tc>
        <w:tc>
          <w:tcPr>
            <w:tcW w:w="2592" w:type="dxa"/>
            <w:vAlign w:val="bottom"/>
          </w:tcPr>
          <w:p w14:paraId="20B2C973" w14:textId="0AEF0039" w:rsidR="00354C97" w:rsidRDefault="004427FC" w:rsidP="00354C97">
            <w:pPr>
              <w:pStyle w:val="ListParagraph"/>
              <w:spacing w:line="276" w:lineRule="auto"/>
              <w:ind w:left="0"/>
              <w:jc w:val="center"/>
            </w:pPr>
            <w:r>
              <w:t>26.1%</w:t>
            </w:r>
          </w:p>
        </w:tc>
        <w:tc>
          <w:tcPr>
            <w:tcW w:w="2593" w:type="dxa"/>
            <w:vAlign w:val="bottom"/>
          </w:tcPr>
          <w:p w14:paraId="05E7020B" w14:textId="666F4130" w:rsidR="00354C97" w:rsidRDefault="004427FC" w:rsidP="00354C97">
            <w:pPr>
              <w:pStyle w:val="ListParagraph"/>
              <w:spacing w:line="276" w:lineRule="auto"/>
              <w:ind w:left="0"/>
              <w:jc w:val="center"/>
            </w:pPr>
            <w:r>
              <w:t>73.9%</w:t>
            </w:r>
          </w:p>
        </w:tc>
      </w:tr>
      <w:tr w:rsidR="00354C97" w14:paraId="7E39E7F6" w14:textId="77777777" w:rsidTr="005803A7">
        <w:tc>
          <w:tcPr>
            <w:tcW w:w="2589" w:type="dxa"/>
            <w:gridSpan w:val="2"/>
            <w:vAlign w:val="bottom"/>
          </w:tcPr>
          <w:p w14:paraId="3E996CCB" w14:textId="08F427A7" w:rsidR="00354C97" w:rsidRDefault="00354C97" w:rsidP="00354C97">
            <w:pPr>
              <w:pStyle w:val="ListParagraph"/>
              <w:spacing w:line="276" w:lineRule="auto"/>
              <w:ind w:left="0"/>
              <w:jc w:val="center"/>
            </w:pPr>
            <w:r>
              <w:t>75 to 85</w:t>
            </w:r>
          </w:p>
        </w:tc>
        <w:tc>
          <w:tcPr>
            <w:tcW w:w="2592" w:type="dxa"/>
            <w:vAlign w:val="bottom"/>
          </w:tcPr>
          <w:p w14:paraId="1EEF6E2E" w14:textId="4F0ED93C" w:rsidR="00354C97" w:rsidRDefault="004427FC" w:rsidP="00354C97">
            <w:pPr>
              <w:pStyle w:val="ListParagraph"/>
              <w:spacing w:line="276" w:lineRule="auto"/>
              <w:ind w:left="0"/>
              <w:jc w:val="center"/>
            </w:pPr>
            <w:r>
              <w:t>38.0%</w:t>
            </w:r>
          </w:p>
        </w:tc>
        <w:tc>
          <w:tcPr>
            <w:tcW w:w="2593" w:type="dxa"/>
            <w:vAlign w:val="bottom"/>
          </w:tcPr>
          <w:p w14:paraId="6262AAA8" w14:textId="00C4EE31" w:rsidR="00354C97" w:rsidRDefault="004427FC" w:rsidP="00354C97">
            <w:pPr>
              <w:pStyle w:val="ListParagraph"/>
              <w:spacing w:line="276" w:lineRule="auto"/>
              <w:ind w:left="0"/>
              <w:jc w:val="center"/>
            </w:pPr>
            <w:r>
              <w:t>62.0%</w:t>
            </w:r>
          </w:p>
        </w:tc>
      </w:tr>
      <w:tr w:rsidR="00354C97" w14:paraId="0DB691C9" w14:textId="77777777" w:rsidTr="005803A7">
        <w:tc>
          <w:tcPr>
            <w:tcW w:w="2589" w:type="dxa"/>
            <w:gridSpan w:val="2"/>
            <w:vAlign w:val="bottom"/>
          </w:tcPr>
          <w:p w14:paraId="0E84CF04" w14:textId="150D0F71" w:rsidR="00354C97" w:rsidRDefault="00354C97" w:rsidP="00354C97">
            <w:pPr>
              <w:pStyle w:val="ListParagraph"/>
              <w:spacing w:line="276" w:lineRule="auto"/>
              <w:ind w:left="0"/>
              <w:jc w:val="center"/>
            </w:pPr>
            <w:r>
              <w:t>Over 85</w:t>
            </w:r>
          </w:p>
        </w:tc>
        <w:tc>
          <w:tcPr>
            <w:tcW w:w="2592" w:type="dxa"/>
            <w:vAlign w:val="bottom"/>
          </w:tcPr>
          <w:p w14:paraId="18068FAB" w14:textId="200933EE" w:rsidR="00354C97" w:rsidRDefault="004427FC" w:rsidP="00354C97">
            <w:pPr>
              <w:pStyle w:val="ListParagraph"/>
              <w:spacing w:line="276" w:lineRule="auto"/>
              <w:ind w:left="0"/>
              <w:jc w:val="center"/>
            </w:pPr>
            <w:r>
              <w:t>83.3%</w:t>
            </w:r>
          </w:p>
        </w:tc>
        <w:tc>
          <w:tcPr>
            <w:tcW w:w="2593" w:type="dxa"/>
            <w:vAlign w:val="bottom"/>
          </w:tcPr>
          <w:p w14:paraId="4EC243F9" w14:textId="437B799C" w:rsidR="00354C97" w:rsidRDefault="004427FC" w:rsidP="00354C97">
            <w:pPr>
              <w:pStyle w:val="ListParagraph"/>
              <w:spacing w:line="276" w:lineRule="auto"/>
              <w:ind w:left="0"/>
              <w:jc w:val="center"/>
            </w:pPr>
            <w:r>
              <w:t>16.7%</w:t>
            </w:r>
          </w:p>
        </w:tc>
      </w:tr>
    </w:tbl>
    <w:p w14:paraId="75ACCDCC" w14:textId="77777777" w:rsidR="002F39B4" w:rsidRDefault="002F39B4" w:rsidP="004427FC"/>
    <w:p w14:paraId="0E12A393" w14:textId="05A134E3" w:rsidR="00431E2A" w:rsidRDefault="004427FC" w:rsidP="00431E2A">
      <w:pPr>
        <w:pStyle w:val="ListParagraph"/>
        <w:numPr>
          <w:ilvl w:val="0"/>
          <w:numId w:val="10"/>
        </w:numPr>
        <w:spacing w:line="276" w:lineRule="auto"/>
      </w:pPr>
      <w:r>
        <w:t>Th</w:t>
      </w:r>
      <w:r w:rsidR="00431E2A">
        <w:t>is</w:t>
      </w:r>
      <w:r>
        <w:t xml:space="preserve"> show</w:t>
      </w:r>
      <w:r w:rsidR="00431E2A">
        <w:t>s</w:t>
      </w:r>
      <w:r>
        <w:t xml:space="preserve"> that the devastating impact of the lack of inflation protection for compensation for “pre-1997” service disproportionately impacts women and older members. </w:t>
      </w:r>
      <w:r w:rsidR="00431E2A">
        <w:t>There is no justification for this differential treatment. It should be rectified by eliminating the artificial distinction between pension built up “pre-1997” and “post-1997”.</w:t>
      </w:r>
    </w:p>
    <w:p w14:paraId="3283578A" w14:textId="7B8410CB" w:rsidR="00D23B79" w:rsidRDefault="00D23B79" w:rsidP="00D23B79">
      <w:pPr>
        <w:pStyle w:val="ListParagraph"/>
        <w:spacing w:line="276" w:lineRule="auto"/>
      </w:pPr>
    </w:p>
    <w:p w14:paraId="06AA6B69" w14:textId="4FB6DB9C" w:rsidR="00D23B79" w:rsidRDefault="000F59B2" w:rsidP="00431E2A">
      <w:pPr>
        <w:pStyle w:val="ListParagraph"/>
        <w:numPr>
          <w:ilvl w:val="0"/>
          <w:numId w:val="10"/>
        </w:numPr>
        <w:spacing w:line="276" w:lineRule="auto"/>
      </w:pPr>
      <w:r>
        <w:t>Prospect wrote to the Pensions Minister in May 2022</w:t>
      </w:r>
      <w:r>
        <w:rPr>
          <w:rStyle w:val="FootnoteReference"/>
        </w:rPr>
        <w:footnoteReference w:id="11"/>
      </w:r>
      <w:r>
        <w:t xml:space="preserve"> to raise the issue of whether compensation levels were adequate in the context of the inflationary environment at the time and whether he was confident that the Board of the PPF’s approach to the Hampshire judgment properly took the then level of inflation into account. In response</w:t>
      </w:r>
      <w:r>
        <w:rPr>
          <w:rStyle w:val="FootnoteReference"/>
        </w:rPr>
        <w:footnoteReference w:id="12"/>
      </w:r>
      <w:r>
        <w:t xml:space="preserve"> the minister indicated that he believed the approach to both issues was appropriate.</w:t>
      </w:r>
    </w:p>
    <w:p w14:paraId="12F50824" w14:textId="73D65AF0" w:rsidR="00431E2A" w:rsidRDefault="00431E2A" w:rsidP="00431E2A">
      <w:pPr>
        <w:pStyle w:val="ListParagraph"/>
        <w:spacing w:line="276" w:lineRule="auto"/>
      </w:pPr>
    </w:p>
    <w:p w14:paraId="2FE4888F" w14:textId="13D84DE1" w:rsidR="005E69EF" w:rsidRDefault="005803A7" w:rsidP="005E69EF">
      <w:pPr>
        <w:pStyle w:val="ListParagraph"/>
        <w:numPr>
          <w:ilvl w:val="0"/>
          <w:numId w:val="10"/>
        </w:numPr>
        <w:spacing w:line="276" w:lineRule="auto"/>
      </w:pPr>
      <w:r>
        <w:t xml:space="preserve">During the passage of the Pensions Act 2004 through Parliament, ministers justified the lack of inflation protection for compensation in relation to “pre-1997” service because there was no statutory requirement for eligible schemes themselves to increase the underlying pension. </w:t>
      </w:r>
      <w:r w:rsidR="001937CC">
        <w:t>Data on the pension increases actually paid by private sector schemes in relation to “pre-1997” service showed the vast majority received some increase (the minister herself conceded in the debate that 90% of schemes paid some increase</w:t>
      </w:r>
      <w:r w:rsidR="002A6A9D">
        <w:t>, the proportion of scheme members entitled to an increase will have been much higher). This is not a rational justification for this discriminatory treatment.</w:t>
      </w:r>
    </w:p>
    <w:p w14:paraId="4CB0A631" w14:textId="77777777" w:rsidR="005E69EF" w:rsidRDefault="005E69EF" w:rsidP="005E69EF">
      <w:pPr>
        <w:pStyle w:val="ListParagraph"/>
        <w:spacing w:line="276" w:lineRule="auto"/>
      </w:pPr>
    </w:p>
    <w:p w14:paraId="5B015D2D" w14:textId="77777777" w:rsidR="002A6A9D" w:rsidRPr="002A6A9D" w:rsidRDefault="002A6A9D" w:rsidP="002A6A9D">
      <w:pPr>
        <w:pStyle w:val="ListParagraph"/>
        <w:numPr>
          <w:ilvl w:val="0"/>
          <w:numId w:val="11"/>
        </w:numPr>
        <w:spacing w:line="276" w:lineRule="auto"/>
      </w:pPr>
      <w:r w:rsidRPr="002A6A9D">
        <w:rPr>
          <w:b/>
          <w:bCs/>
        </w:rPr>
        <w:t>Indexation of compensation</w:t>
      </w:r>
      <w:r w:rsidRPr="002A6A9D">
        <w:t xml:space="preserve"> </w:t>
      </w:r>
      <w:r w:rsidRPr="002A6A9D">
        <w:rPr>
          <w:b/>
          <w:bCs/>
        </w:rPr>
        <w:t xml:space="preserve">in relation to pensionable service </w:t>
      </w:r>
      <w:r>
        <w:rPr>
          <w:b/>
          <w:bCs/>
        </w:rPr>
        <w:t>after</w:t>
      </w:r>
      <w:r w:rsidRPr="002A6A9D">
        <w:rPr>
          <w:b/>
          <w:bCs/>
        </w:rPr>
        <w:t xml:space="preserve"> 6 April 199</w:t>
      </w:r>
      <w:r>
        <w:rPr>
          <w:b/>
          <w:bCs/>
        </w:rPr>
        <w:t>7</w:t>
      </w:r>
    </w:p>
    <w:p w14:paraId="54413799" w14:textId="1AE19442" w:rsidR="005803A7" w:rsidRDefault="005803A7" w:rsidP="002A6A9D">
      <w:pPr>
        <w:pStyle w:val="ListParagraph"/>
        <w:spacing w:line="276" w:lineRule="auto"/>
        <w:ind w:left="1440"/>
      </w:pPr>
      <w:r>
        <w:t xml:space="preserve"> </w:t>
      </w:r>
    </w:p>
    <w:p w14:paraId="145B1780" w14:textId="70688368" w:rsidR="00431E2A" w:rsidRDefault="002A6A9D" w:rsidP="002A6A9D">
      <w:pPr>
        <w:pStyle w:val="ListParagraph"/>
        <w:numPr>
          <w:ilvl w:val="0"/>
          <w:numId w:val="10"/>
        </w:numPr>
        <w:spacing w:line="276" w:lineRule="auto"/>
      </w:pPr>
      <w:r>
        <w:lastRenderedPageBreak/>
        <w:t xml:space="preserve">As noted above, compensation </w:t>
      </w:r>
      <w:r w:rsidRPr="002A6A9D">
        <w:t xml:space="preserve">in relation to pensionable service from 6 April 1997 is increased in line with inflation (as measured by the </w:t>
      </w:r>
      <w:r w:rsidR="00A44809">
        <w:t>CPI</w:t>
      </w:r>
      <w:r w:rsidR="00E7294B">
        <w:t xml:space="preserve"> since 201</w:t>
      </w:r>
      <w:r w:rsidR="009A373B">
        <w:t>2</w:t>
      </w:r>
      <w:r w:rsidRPr="002A6A9D">
        <w:t>) subject to a maximum of 2.5%.</w:t>
      </w:r>
    </w:p>
    <w:p w14:paraId="6625835B" w14:textId="59BD19B3" w:rsidR="002A6A9D" w:rsidRDefault="002A6A9D" w:rsidP="002A6A9D">
      <w:pPr>
        <w:pStyle w:val="ListParagraph"/>
        <w:spacing w:line="276" w:lineRule="auto"/>
      </w:pPr>
    </w:p>
    <w:p w14:paraId="63C179D3" w14:textId="2E07CF23" w:rsidR="002A6A9D" w:rsidRDefault="00A44809" w:rsidP="002A6A9D">
      <w:pPr>
        <w:pStyle w:val="ListParagraph"/>
        <w:numPr>
          <w:ilvl w:val="0"/>
          <w:numId w:val="10"/>
        </w:numPr>
        <w:spacing w:line="276" w:lineRule="auto"/>
      </w:pPr>
      <w:r>
        <w:t>The justification for this approach was that the Pensions Act 1995 first introduced the requirement to increase occupational pensions in line with inflation (as measured by the Retail Prices Index)</w:t>
      </w:r>
      <w:r w:rsidR="001E34BE">
        <w:t>, though this was</w:t>
      </w:r>
      <w:r>
        <w:t xml:space="preserve"> capped at 5%. The Pensions Act 2004 subsequently reduced the cap to 2.5% and the Pensions Act 2011 essentially changed the index from RPI to CPI.</w:t>
      </w:r>
    </w:p>
    <w:p w14:paraId="1F4304E3" w14:textId="77777777" w:rsidR="00A44809" w:rsidRDefault="00A44809" w:rsidP="00A44809">
      <w:pPr>
        <w:pStyle w:val="ListParagraph"/>
      </w:pPr>
    </w:p>
    <w:p w14:paraId="6464867F" w14:textId="6CC1EB43" w:rsidR="002A6A9D" w:rsidRDefault="00A44809" w:rsidP="00292D1D">
      <w:pPr>
        <w:pStyle w:val="ListParagraph"/>
        <w:numPr>
          <w:ilvl w:val="0"/>
          <w:numId w:val="10"/>
        </w:numPr>
        <w:spacing w:line="276" w:lineRule="auto"/>
      </w:pPr>
      <w:r>
        <w:t xml:space="preserve">While this is </w:t>
      </w:r>
      <w:r w:rsidR="001C6534">
        <w:t xml:space="preserve">more generous treatment than for compensation in relation to pensionable service before 6 April 2007, it can still result in a significant reduction in the purchasing power of compensation over time. The following table shows what </w:t>
      </w:r>
      <w:r w:rsidR="001C6534" w:rsidRPr="001C6534">
        <w:t>the theoretical value of £100 per year of PPF compensation put into payment on 1 January 2005 would be if it was increased in line with uncapped inflation</w:t>
      </w:r>
      <w:r w:rsidR="001E34BE">
        <w:t xml:space="preserve"> (RPI to 2011 and CPI afterwards),</w:t>
      </w:r>
      <w:r w:rsidR="001C6534">
        <w:t xml:space="preserve"> compared to the actual capped increases that apply to “post-1997” service.</w:t>
      </w:r>
    </w:p>
    <w:p w14:paraId="4A10354C" w14:textId="77777777" w:rsidR="001C6534" w:rsidRDefault="001C6534" w:rsidP="001C6534">
      <w:pPr>
        <w:pStyle w:val="ListParagraph"/>
      </w:pPr>
    </w:p>
    <w:tbl>
      <w:tblPr>
        <w:tblStyle w:val="TableGrid"/>
        <w:tblW w:w="0" w:type="auto"/>
        <w:tblInd w:w="720" w:type="dxa"/>
        <w:tblLook w:val="04A0" w:firstRow="1" w:lastRow="0" w:firstColumn="1" w:lastColumn="0" w:noHBand="0" w:noVBand="1"/>
      </w:tblPr>
      <w:tblGrid>
        <w:gridCol w:w="1512"/>
        <w:gridCol w:w="1522"/>
        <w:gridCol w:w="1575"/>
        <w:gridCol w:w="1603"/>
        <w:gridCol w:w="1562"/>
      </w:tblGrid>
      <w:tr w:rsidR="00CF303D" w14:paraId="5695C11A" w14:textId="77777777" w:rsidTr="001E34BE">
        <w:trPr>
          <w:trHeight w:val="458"/>
        </w:trPr>
        <w:tc>
          <w:tcPr>
            <w:tcW w:w="1512" w:type="dxa"/>
            <w:vAlign w:val="bottom"/>
          </w:tcPr>
          <w:p w14:paraId="2DCC50FA" w14:textId="3665F12B" w:rsidR="001C6534" w:rsidRDefault="001C6534" w:rsidP="001C6534">
            <w:pPr>
              <w:pStyle w:val="ListParagraph"/>
              <w:spacing w:line="276" w:lineRule="auto"/>
              <w:ind w:left="0"/>
              <w:jc w:val="center"/>
            </w:pPr>
            <w:r>
              <w:t>Year</w:t>
            </w:r>
          </w:p>
        </w:tc>
        <w:tc>
          <w:tcPr>
            <w:tcW w:w="1522" w:type="dxa"/>
            <w:vAlign w:val="bottom"/>
          </w:tcPr>
          <w:p w14:paraId="124B514D" w14:textId="18E7C0B2" w:rsidR="001C6534" w:rsidRDefault="00CF303D" w:rsidP="001C6534">
            <w:pPr>
              <w:pStyle w:val="ListParagraph"/>
              <w:spacing w:line="276" w:lineRule="auto"/>
              <w:ind w:left="0"/>
              <w:jc w:val="center"/>
            </w:pPr>
            <w:r>
              <w:t>Index</w:t>
            </w:r>
          </w:p>
        </w:tc>
        <w:tc>
          <w:tcPr>
            <w:tcW w:w="1575" w:type="dxa"/>
            <w:vAlign w:val="bottom"/>
          </w:tcPr>
          <w:p w14:paraId="6E7ABF93" w14:textId="6F2FA23C" w:rsidR="001C6534" w:rsidRDefault="00CF303D" w:rsidP="001C6534">
            <w:pPr>
              <w:pStyle w:val="ListParagraph"/>
              <w:spacing w:line="276" w:lineRule="auto"/>
              <w:ind w:left="0"/>
              <w:jc w:val="center"/>
            </w:pPr>
            <w:r>
              <w:t>PPF Increase</w:t>
            </w:r>
          </w:p>
        </w:tc>
        <w:tc>
          <w:tcPr>
            <w:tcW w:w="1603" w:type="dxa"/>
            <w:vAlign w:val="bottom"/>
          </w:tcPr>
          <w:p w14:paraId="76146AFA" w14:textId="51F95D97" w:rsidR="001C6534" w:rsidRDefault="00CF303D" w:rsidP="001C6534">
            <w:pPr>
              <w:pStyle w:val="ListParagraph"/>
              <w:spacing w:line="276" w:lineRule="auto"/>
              <w:ind w:left="0"/>
              <w:jc w:val="center"/>
            </w:pPr>
            <w:r>
              <w:t>Uncapped</w:t>
            </w:r>
          </w:p>
        </w:tc>
        <w:tc>
          <w:tcPr>
            <w:tcW w:w="1562" w:type="dxa"/>
            <w:vAlign w:val="bottom"/>
          </w:tcPr>
          <w:p w14:paraId="0858ED56" w14:textId="03409DDA" w:rsidR="001C6534" w:rsidRDefault="00CF303D" w:rsidP="001C6534">
            <w:pPr>
              <w:pStyle w:val="ListParagraph"/>
              <w:spacing w:line="276" w:lineRule="auto"/>
              <w:ind w:left="0"/>
              <w:jc w:val="center"/>
            </w:pPr>
            <w:r>
              <w:t>Capped</w:t>
            </w:r>
          </w:p>
        </w:tc>
      </w:tr>
      <w:tr w:rsidR="00CF303D" w14:paraId="349CD50D" w14:textId="77777777" w:rsidTr="001E34BE">
        <w:trPr>
          <w:trHeight w:val="458"/>
        </w:trPr>
        <w:tc>
          <w:tcPr>
            <w:tcW w:w="1512" w:type="dxa"/>
            <w:vAlign w:val="bottom"/>
          </w:tcPr>
          <w:p w14:paraId="4A1DD983" w14:textId="5FE49968" w:rsidR="001C6534" w:rsidRDefault="001C6534" w:rsidP="001C6534">
            <w:pPr>
              <w:pStyle w:val="ListParagraph"/>
              <w:spacing w:line="276" w:lineRule="auto"/>
              <w:ind w:left="0"/>
              <w:jc w:val="center"/>
            </w:pPr>
            <w:r>
              <w:t>2006</w:t>
            </w:r>
          </w:p>
        </w:tc>
        <w:tc>
          <w:tcPr>
            <w:tcW w:w="1522" w:type="dxa"/>
            <w:vAlign w:val="bottom"/>
          </w:tcPr>
          <w:p w14:paraId="762E52F9" w14:textId="740E7B74" w:rsidR="001C6534" w:rsidRDefault="001E34BE" w:rsidP="001C6534">
            <w:pPr>
              <w:pStyle w:val="ListParagraph"/>
              <w:spacing w:line="276" w:lineRule="auto"/>
              <w:ind w:left="0"/>
              <w:jc w:val="center"/>
            </w:pPr>
            <w:r>
              <w:t>2.9%</w:t>
            </w:r>
          </w:p>
        </w:tc>
        <w:tc>
          <w:tcPr>
            <w:tcW w:w="1575" w:type="dxa"/>
            <w:vAlign w:val="bottom"/>
          </w:tcPr>
          <w:p w14:paraId="6A32193C" w14:textId="20918ADF" w:rsidR="001C6534" w:rsidRDefault="00CF303D" w:rsidP="001C6534">
            <w:pPr>
              <w:pStyle w:val="ListParagraph"/>
              <w:spacing w:line="276" w:lineRule="auto"/>
              <w:ind w:left="0"/>
              <w:jc w:val="center"/>
            </w:pPr>
            <w:r>
              <w:t>2.5%</w:t>
            </w:r>
          </w:p>
        </w:tc>
        <w:tc>
          <w:tcPr>
            <w:tcW w:w="1603" w:type="dxa"/>
            <w:vAlign w:val="bottom"/>
          </w:tcPr>
          <w:p w14:paraId="1EFEF987" w14:textId="11BB4875" w:rsidR="001C6534" w:rsidRDefault="001E34BE" w:rsidP="001C6534">
            <w:pPr>
              <w:pStyle w:val="ListParagraph"/>
              <w:spacing w:line="276" w:lineRule="auto"/>
              <w:ind w:left="0"/>
              <w:jc w:val="center"/>
            </w:pPr>
            <w:r>
              <w:t>102.9</w:t>
            </w:r>
          </w:p>
        </w:tc>
        <w:tc>
          <w:tcPr>
            <w:tcW w:w="1562" w:type="dxa"/>
            <w:vAlign w:val="bottom"/>
          </w:tcPr>
          <w:p w14:paraId="36B764A5" w14:textId="4012653C" w:rsidR="001C6534" w:rsidRDefault="001E34BE" w:rsidP="001C6534">
            <w:pPr>
              <w:pStyle w:val="ListParagraph"/>
              <w:spacing w:line="276" w:lineRule="auto"/>
              <w:ind w:left="0"/>
              <w:jc w:val="center"/>
            </w:pPr>
            <w:r>
              <w:t>102.5</w:t>
            </w:r>
          </w:p>
        </w:tc>
      </w:tr>
      <w:tr w:rsidR="00CF303D" w14:paraId="6768D45D" w14:textId="77777777" w:rsidTr="001E34BE">
        <w:trPr>
          <w:trHeight w:val="458"/>
        </w:trPr>
        <w:tc>
          <w:tcPr>
            <w:tcW w:w="1512" w:type="dxa"/>
            <w:vAlign w:val="bottom"/>
          </w:tcPr>
          <w:p w14:paraId="7FA615A8" w14:textId="7C09E3CF" w:rsidR="001C6534" w:rsidRDefault="001C6534" w:rsidP="001C6534">
            <w:pPr>
              <w:pStyle w:val="ListParagraph"/>
              <w:spacing w:line="276" w:lineRule="auto"/>
              <w:ind w:left="0"/>
              <w:jc w:val="center"/>
            </w:pPr>
            <w:r>
              <w:t>2007</w:t>
            </w:r>
          </w:p>
        </w:tc>
        <w:tc>
          <w:tcPr>
            <w:tcW w:w="1522" w:type="dxa"/>
            <w:vAlign w:val="bottom"/>
          </w:tcPr>
          <w:p w14:paraId="2199C83E" w14:textId="19F4CF56" w:rsidR="001C6534" w:rsidRDefault="001E34BE" w:rsidP="001C6534">
            <w:pPr>
              <w:pStyle w:val="ListParagraph"/>
              <w:spacing w:line="276" w:lineRule="auto"/>
              <w:ind w:left="0"/>
              <w:jc w:val="center"/>
            </w:pPr>
            <w:r>
              <w:t>3.0%</w:t>
            </w:r>
          </w:p>
        </w:tc>
        <w:tc>
          <w:tcPr>
            <w:tcW w:w="1575" w:type="dxa"/>
            <w:vAlign w:val="bottom"/>
          </w:tcPr>
          <w:p w14:paraId="23A3AFE4" w14:textId="4F170619" w:rsidR="001C6534" w:rsidRDefault="00CF303D" w:rsidP="001C6534">
            <w:pPr>
              <w:pStyle w:val="ListParagraph"/>
              <w:spacing w:line="276" w:lineRule="auto"/>
              <w:ind w:left="0"/>
              <w:jc w:val="center"/>
            </w:pPr>
            <w:r>
              <w:t>2.5%</w:t>
            </w:r>
          </w:p>
        </w:tc>
        <w:tc>
          <w:tcPr>
            <w:tcW w:w="1603" w:type="dxa"/>
            <w:vAlign w:val="bottom"/>
          </w:tcPr>
          <w:p w14:paraId="599F8E99" w14:textId="30B5D869" w:rsidR="001C6534" w:rsidRDefault="001E34BE" w:rsidP="001C6534">
            <w:pPr>
              <w:pStyle w:val="ListParagraph"/>
              <w:spacing w:line="276" w:lineRule="auto"/>
              <w:ind w:left="0"/>
              <w:jc w:val="center"/>
            </w:pPr>
            <w:r>
              <w:t>106.0</w:t>
            </w:r>
          </w:p>
        </w:tc>
        <w:tc>
          <w:tcPr>
            <w:tcW w:w="1562" w:type="dxa"/>
            <w:vAlign w:val="bottom"/>
          </w:tcPr>
          <w:p w14:paraId="592E7C71" w14:textId="1A626894" w:rsidR="001C6534" w:rsidRDefault="001E34BE" w:rsidP="001C6534">
            <w:pPr>
              <w:pStyle w:val="ListParagraph"/>
              <w:spacing w:line="276" w:lineRule="auto"/>
              <w:ind w:left="0"/>
              <w:jc w:val="center"/>
            </w:pPr>
            <w:r>
              <w:t>105.1</w:t>
            </w:r>
          </w:p>
        </w:tc>
      </w:tr>
      <w:tr w:rsidR="00CF303D" w14:paraId="5EEBD181" w14:textId="77777777" w:rsidTr="001E34BE">
        <w:trPr>
          <w:trHeight w:val="458"/>
        </w:trPr>
        <w:tc>
          <w:tcPr>
            <w:tcW w:w="1512" w:type="dxa"/>
            <w:vAlign w:val="bottom"/>
          </w:tcPr>
          <w:p w14:paraId="3BA7E168" w14:textId="7DDDB25B" w:rsidR="001C6534" w:rsidRDefault="001C6534" w:rsidP="001C6534">
            <w:pPr>
              <w:pStyle w:val="ListParagraph"/>
              <w:spacing w:line="276" w:lineRule="auto"/>
              <w:ind w:left="0"/>
              <w:jc w:val="center"/>
            </w:pPr>
            <w:r>
              <w:t>2008</w:t>
            </w:r>
          </w:p>
        </w:tc>
        <w:tc>
          <w:tcPr>
            <w:tcW w:w="1522" w:type="dxa"/>
            <w:vAlign w:val="bottom"/>
          </w:tcPr>
          <w:p w14:paraId="327F22A8" w14:textId="517583C5" w:rsidR="001C6534" w:rsidRDefault="001E34BE" w:rsidP="001C6534">
            <w:pPr>
              <w:pStyle w:val="ListParagraph"/>
              <w:spacing w:line="276" w:lineRule="auto"/>
              <w:ind w:left="0"/>
              <w:jc w:val="center"/>
            </w:pPr>
            <w:r>
              <w:t>4.3%</w:t>
            </w:r>
          </w:p>
        </w:tc>
        <w:tc>
          <w:tcPr>
            <w:tcW w:w="1575" w:type="dxa"/>
            <w:vAlign w:val="bottom"/>
          </w:tcPr>
          <w:p w14:paraId="526152A2" w14:textId="4151CE1D" w:rsidR="001C6534" w:rsidRDefault="00CF303D" w:rsidP="001C6534">
            <w:pPr>
              <w:pStyle w:val="ListParagraph"/>
              <w:spacing w:line="276" w:lineRule="auto"/>
              <w:ind w:left="0"/>
              <w:jc w:val="center"/>
            </w:pPr>
            <w:r>
              <w:t>2.5%</w:t>
            </w:r>
          </w:p>
        </w:tc>
        <w:tc>
          <w:tcPr>
            <w:tcW w:w="1603" w:type="dxa"/>
            <w:vAlign w:val="bottom"/>
          </w:tcPr>
          <w:p w14:paraId="7AABF541" w14:textId="65870540" w:rsidR="001C6534" w:rsidRDefault="001E34BE" w:rsidP="001C6534">
            <w:pPr>
              <w:pStyle w:val="ListParagraph"/>
              <w:spacing w:line="276" w:lineRule="auto"/>
              <w:ind w:left="0"/>
              <w:jc w:val="center"/>
            </w:pPr>
            <w:r>
              <w:t>110.5</w:t>
            </w:r>
          </w:p>
        </w:tc>
        <w:tc>
          <w:tcPr>
            <w:tcW w:w="1562" w:type="dxa"/>
            <w:vAlign w:val="bottom"/>
          </w:tcPr>
          <w:p w14:paraId="31ECA7BD" w14:textId="61B08639" w:rsidR="001C6534" w:rsidRDefault="001E34BE" w:rsidP="001C6534">
            <w:pPr>
              <w:pStyle w:val="ListParagraph"/>
              <w:spacing w:line="276" w:lineRule="auto"/>
              <w:ind w:left="0"/>
              <w:jc w:val="center"/>
            </w:pPr>
            <w:r>
              <w:t>107.7</w:t>
            </w:r>
          </w:p>
        </w:tc>
      </w:tr>
      <w:tr w:rsidR="00CF303D" w14:paraId="0EF70764" w14:textId="77777777" w:rsidTr="001E34BE">
        <w:trPr>
          <w:trHeight w:val="458"/>
        </w:trPr>
        <w:tc>
          <w:tcPr>
            <w:tcW w:w="1512" w:type="dxa"/>
            <w:vAlign w:val="bottom"/>
          </w:tcPr>
          <w:p w14:paraId="17D12585" w14:textId="40F4288C" w:rsidR="001C6534" w:rsidRDefault="001C6534" w:rsidP="001C6534">
            <w:pPr>
              <w:pStyle w:val="ListParagraph"/>
              <w:spacing w:line="276" w:lineRule="auto"/>
              <w:ind w:left="0"/>
              <w:jc w:val="center"/>
            </w:pPr>
            <w:r>
              <w:t>2009</w:t>
            </w:r>
          </w:p>
        </w:tc>
        <w:tc>
          <w:tcPr>
            <w:tcW w:w="1522" w:type="dxa"/>
            <w:vAlign w:val="bottom"/>
          </w:tcPr>
          <w:p w14:paraId="4D99291F" w14:textId="2914438F" w:rsidR="001C6534" w:rsidRDefault="001E34BE" w:rsidP="001C6534">
            <w:pPr>
              <w:pStyle w:val="ListParagraph"/>
              <w:spacing w:line="276" w:lineRule="auto"/>
              <w:ind w:left="0"/>
              <w:jc w:val="center"/>
            </w:pPr>
            <w:r>
              <w:t>4.3%</w:t>
            </w:r>
          </w:p>
        </w:tc>
        <w:tc>
          <w:tcPr>
            <w:tcW w:w="1575" w:type="dxa"/>
            <w:vAlign w:val="bottom"/>
          </w:tcPr>
          <w:p w14:paraId="07CB60E2" w14:textId="7A5D10FD" w:rsidR="001C6534" w:rsidRDefault="00CF303D" w:rsidP="001C6534">
            <w:pPr>
              <w:pStyle w:val="ListParagraph"/>
              <w:spacing w:line="276" w:lineRule="auto"/>
              <w:ind w:left="0"/>
              <w:jc w:val="center"/>
            </w:pPr>
            <w:r>
              <w:t>2.5%</w:t>
            </w:r>
          </w:p>
        </w:tc>
        <w:tc>
          <w:tcPr>
            <w:tcW w:w="1603" w:type="dxa"/>
            <w:vAlign w:val="bottom"/>
          </w:tcPr>
          <w:p w14:paraId="205070AE" w14:textId="6A5C84F7" w:rsidR="001C6534" w:rsidRDefault="001E34BE" w:rsidP="001C6534">
            <w:pPr>
              <w:pStyle w:val="ListParagraph"/>
              <w:spacing w:line="276" w:lineRule="auto"/>
              <w:ind w:left="0"/>
              <w:jc w:val="center"/>
            </w:pPr>
            <w:r>
              <w:t>115.3</w:t>
            </w:r>
          </w:p>
        </w:tc>
        <w:tc>
          <w:tcPr>
            <w:tcW w:w="1562" w:type="dxa"/>
            <w:vAlign w:val="bottom"/>
          </w:tcPr>
          <w:p w14:paraId="48FF8DFD" w14:textId="29FB495C" w:rsidR="001C6534" w:rsidRDefault="001E34BE" w:rsidP="001C6534">
            <w:pPr>
              <w:pStyle w:val="ListParagraph"/>
              <w:spacing w:line="276" w:lineRule="auto"/>
              <w:ind w:left="0"/>
              <w:jc w:val="center"/>
            </w:pPr>
            <w:r>
              <w:t>110.4</w:t>
            </w:r>
          </w:p>
        </w:tc>
      </w:tr>
      <w:tr w:rsidR="00CF303D" w14:paraId="411D20B6" w14:textId="77777777" w:rsidTr="001E34BE">
        <w:trPr>
          <w:trHeight w:val="458"/>
        </w:trPr>
        <w:tc>
          <w:tcPr>
            <w:tcW w:w="1512" w:type="dxa"/>
            <w:vAlign w:val="bottom"/>
          </w:tcPr>
          <w:p w14:paraId="35E3510F" w14:textId="51B793CE" w:rsidR="001C6534" w:rsidRDefault="00CF303D" w:rsidP="001C6534">
            <w:pPr>
              <w:pStyle w:val="ListParagraph"/>
              <w:spacing w:line="276" w:lineRule="auto"/>
              <w:ind w:left="0"/>
              <w:jc w:val="center"/>
            </w:pPr>
            <w:r>
              <w:t>2010</w:t>
            </w:r>
          </w:p>
        </w:tc>
        <w:tc>
          <w:tcPr>
            <w:tcW w:w="1522" w:type="dxa"/>
            <w:vAlign w:val="bottom"/>
          </w:tcPr>
          <w:p w14:paraId="6CA97C18" w14:textId="098430DE" w:rsidR="001C6534" w:rsidRDefault="001E34BE" w:rsidP="001C6534">
            <w:pPr>
              <w:pStyle w:val="ListParagraph"/>
              <w:spacing w:line="276" w:lineRule="auto"/>
              <w:ind w:left="0"/>
              <w:jc w:val="center"/>
            </w:pPr>
            <w:r>
              <w:t>0.0%</w:t>
            </w:r>
          </w:p>
        </w:tc>
        <w:tc>
          <w:tcPr>
            <w:tcW w:w="1575" w:type="dxa"/>
            <w:vAlign w:val="bottom"/>
          </w:tcPr>
          <w:p w14:paraId="3D0AA825" w14:textId="461F748E" w:rsidR="001C6534" w:rsidRDefault="00CF303D" w:rsidP="001C6534">
            <w:pPr>
              <w:pStyle w:val="ListParagraph"/>
              <w:spacing w:line="276" w:lineRule="auto"/>
              <w:ind w:left="0"/>
              <w:jc w:val="center"/>
            </w:pPr>
            <w:r>
              <w:t>0.0%</w:t>
            </w:r>
          </w:p>
        </w:tc>
        <w:tc>
          <w:tcPr>
            <w:tcW w:w="1603" w:type="dxa"/>
            <w:vAlign w:val="bottom"/>
          </w:tcPr>
          <w:p w14:paraId="5CE15DFE" w14:textId="620B4FB2" w:rsidR="001C6534" w:rsidRDefault="001E34BE" w:rsidP="001C6534">
            <w:pPr>
              <w:pStyle w:val="ListParagraph"/>
              <w:spacing w:line="276" w:lineRule="auto"/>
              <w:ind w:left="0"/>
              <w:jc w:val="center"/>
            </w:pPr>
            <w:r>
              <w:t>115.3</w:t>
            </w:r>
          </w:p>
        </w:tc>
        <w:tc>
          <w:tcPr>
            <w:tcW w:w="1562" w:type="dxa"/>
            <w:vAlign w:val="bottom"/>
          </w:tcPr>
          <w:p w14:paraId="4CDFCF36" w14:textId="0BE7D440" w:rsidR="001C6534" w:rsidRDefault="001E34BE" w:rsidP="001E34BE">
            <w:pPr>
              <w:pStyle w:val="ListParagraph"/>
              <w:spacing w:line="276" w:lineRule="auto"/>
              <w:ind w:left="0"/>
            </w:pPr>
            <w:r>
              <w:t xml:space="preserve">       110.4</w:t>
            </w:r>
          </w:p>
        </w:tc>
      </w:tr>
      <w:tr w:rsidR="00CF303D" w14:paraId="3492F3E1" w14:textId="77777777" w:rsidTr="001E34BE">
        <w:trPr>
          <w:trHeight w:val="458"/>
        </w:trPr>
        <w:tc>
          <w:tcPr>
            <w:tcW w:w="1512" w:type="dxa"/>
            <w:vAlign w:val="bottom"/>
          </w:tcPr>
          <w:p w14:paraId="157CB4A5" w14:textId="60541B1A" w:rsidR="001C6534" w:rsidRDefault="00CF303D" w:rsidP="001C6534">
            <w:pPr>
              <w:pStyle w:val="ListParagraph"/>
              <w:spacing w:line="276" w:lineRule="auto"/>
              <w:ind w:left="0"/>
              <w:jc w:val="center"/>
            </w:pPr>
            <w:r>
              <w:t>2011</w:t>
            </w:r>
          </w:p>
        </w:tc>
        <w:tc>
          <w:tcPr>
            <w:tcW w:w="1522" w:type="dxa"/>
            <w:vAlign w:val="bottom"/>
          </w:tcPr>
          <w:p w14:paraId="6C2ADF34" w14:textId="37EEA3D2" w:rsidR="001C6534" w:rsidRDefault="001E34BE" w:rsidP="001C6534">
            <w:pPr>
              <w:pStyle w:val="ListParagraph"/>
              <w:spacing w:line="276" w:lineRule="auto"/>
              <w:ind w:left="0"/>
              <w:jc w:val="center"/>
            </w:pPr>
            <w:r>
              <w:t>5.1%</w:t>
            </w:r>
          </w:p>
        </w:tc>
        <w:tc>
          <w:tcPr>
            <w:tcW w:w="1575" w:type="dxa"/>
            <w:vAlign w:val="bottom"/>
          </w:tcPr>
          <w:p w14:paraId="43C1AFBF" w14:textId="5F61ADAC" w:rsidR="001C6534" w:rsidRDefault="00CF303D" w:rsidP="001C6534">
            <w:pPr>
              <w:pStyle w:val="ListParagraph"/>
              <w:spacing w:line="276" w:lineRule="auto"/>
              <w:ind w:left="0"/>
              <w:jc w:val="center"/>
            </w:pPr>
            <w:r>
              <w:t>2.5%</w:t>
            </w:r>
          </w:p>
        </w:tc>
        <w:tc>
          <w:tcPr>
            <w:tcW w:w="1603" w:type="dxa"/>
            <w:vAlign w:val="bottom"/>
          </w:tcPr>
          <w:p w14:paraId="788014EA" w14:textId="7062CC43" w:rsidR="001C6534" w:rsidRDefault="001E34BE" w:rsidP="001C6534">
            <w:pPr>
              <w:pStyle w:val="ListParagraph"/>
              <w:spacing w:line="276" w:lineRule="auto"/>
              <w:ind w:left="0"/>
              <w:jc w:val="center"/>
            </w:pPr>
            <w:r>
              <w:t>121.2</w:t>
            </w:r>
          </w:p>
        </w:tc>
        <w:tc>
          <w:tcPr>
            <w:tcW w:w="1562" w:type="dxa"/>
            <w:vAlign w:val="bottom"/>
          </w:tcPr>
          <w:p w14:paraId="64AF4FBD" w14:textId="358DF1B4" w:rsidR="001C6534" w:rsidRDefault="001E34BE" w:rsidP="001C6534">
            <w:pPr>
              <w:pStyle w:val="ListParagraph"/>
              <w:spacing w:line="276" w:lineRule="auto"/>
              <w:ind w:left="0"/>
              <w:jc w:val="center"/>
            </w:pPr>
            <w:r>
              <w:t>113.1</w:t>
            </w:r>
          </w:p>
        </w:tc>
      </w:tr>
      <w:tr w:rsidR="00CF303D" w14:paraId="074F05C3" w14:textId="77777777" w:rsidTr="001E34BE">
        <w:trPr>
          <w:trHeight w:val="458"/>
        </w:trPr>
        <w:tc>
          <w:tcPr>
            <w:tcW w:w="1512" w:type="dxa"/>
            <w:vAlign w:val="bottom"/>
          </w:tcPr>
          <w:p w14:paraId="04A2E000" w14:textId="33408F23" w:rsidR="001C6534" w:rsidRDefault="00CF303D" w:rsidP="001C6534">
            <w:pPr>
              <w:pStyle w:val="ListParagraph"/>
              <w:spacing w:line="276" w:lineRule="auto"/>
              <w:ind w:left="0"/>
              <w:jc w:val="center"/>
            </w:pPr>
            <w:r>
              <w:t>2012</w:t>
            </w:r>
          </w:p>
        </w:tc>
        <w:tc>
          <w:tcPr>
            <w:tcW w:w="1522" w:type="dxa"/>
            <w:vAlign w:val="bottom"/>
          </w:tcPr>
          <w:p w14:paraId="77780AA2" w14:textId="3953935A" w:rsidR="001C6534" w:rsidRDefault="001E34BE" w:rsidP="001C6534">
            <w:pPr>
              <w:pStyle w:val="ListParagraph"/>
              <w:spacing w:line="276" w:lineRule="auto"/>
              <w:ind w:left="0"/>
              <w:jc w:val="center"/>
            </w:pPr>
            <w:r>
              <w:t>4.5%</w:t>
            </w:r>
          </w:p>
        </w:tc>
        <w:tc>
          <w:tcPr>
            <w:tcW w:w="1575" w:type="dxa"/>
            <w:vAlign w:val="bottom"/>
          </w:tcPr>
          <w:p w14:paraId="533CD040" w14:textId="415091C0" w:rsidR="001C6534" w:rsidRDefault="00CF303D" w:rsidP="001C6534">
            <w:pPr>
              <w:pStyle w:val="ListParagraph"/>
              <w:spacing w:line="276" w:lineRule="auto"/>
              <w:ind w:left="0"/>
              <w:jc w:val="center"/>
            </w:pPr>
            <w:r>
              <w:t>2.5%</w:t>
            </w:r>
          </w:p>
        </w:tc>
        <w:tc>
          <w:tcPr>
            <w:tcW w:w="1603" w:type="dxa"/>
            <w:vAlign w:val="bottom"/>
          </w:tcPr>
          <w:p w14:paraId="5F0E1A90" w14:textId="5DB35CB2" w:rsidR="001C6534" w:rsidRDefault="001E34BE" w:rsidP="001C6534">
            <w:pPr>
              <w:pStyle w:val="ListParagraph"/>
              <w:spacing w:line="276" w:lineRule="auto"/>
              <w:ind w:left="0"/>
              <w:jc w:val="center"/>
            </w:pPr>
            <w:r>
              <w:t>126.6</w:t>
            </w:r>
          </w:p>
        </w:tc>
        <w:tc>
          <w:tcPr>
            <w:tcW w:w="1562" w:type="dxa"/>
            <w:vAlign w:val="bottom"/>
          </w:tcPr>
          <w:p w14:paraId="3B1DF50F" w14:textId="5F753669" w:rsidR="001C6534" w:rsidRDefault="001E34BE" w:rsidP="001C6534">
            <w:pPr>
              <w:pStyle w:val="ListParagraph"/>
              <w:spacing w:line="276" w:lineRule="auto"/>
              <w:ind w:left="0"/>
              <w:jc w:val="center"/>
            </w:pPr>
            <w:r>
              <w:t>116.0</w:t>
            </w:r>
          </w:p>
        </w:tc>
      </w:tr>
      <w:tr w:rsidR="00CF303D" w14:paraId="11292B92" w14:textId="77777777" w:rsidTr="001E34BE">
        <w:trPr>
          <w:trHeight w:val="458"/>
        </w:trPr>
        <w:tc>
          <w:tcPr>
            <w:tcW w:w="1512" w:type="dxa"/>
            <w:vAlign w:val="bottom"/>
          </w:tcPr>
          <w:p w14:paraId="7D9CBDFD" w14:textId="5C40F9A1" w:rsidR="001C6534" w:rsidRDefault="00CF303D" w:rsidP="001C6534">
            <w:pPr>
              <w:pStyle w:val="ListParagraph"/>
              <w:spacing w:line="276" w:lineRule="auto"/>
              <w:ind w:left="0"/>
              <w:jc w:val="center"/>
            </w:pPr>
            <w:r>
              <w:t>2013</w:t>
            </w:r>
          </w:p>
        </w:tc>
        <w:tc>
          <w:tcPr>
            <w:tcW w:w="1522" w:type="dxa"/>
            <w:vAlign w:val="bottom"/>
          </w:tcPr>
          <w:p w14:paraId="01317CF0" w14:textId="4F95CD1A" w:rsidR="001C6534" w:rsidRDefault="001E34BE" w:rsidP="001C6534">
            <w:pPr>
              <w:pStyle w:val="ListParagraph"/>
              <w:spacing w:line="276" w:lineRule="auto"/>
              <w:ind w:left="0"/>
              <w:jc w:val="center"/>
            </w:pPr>
            <w:r>
              <w:t>2.8%</w:t>
            </w:r>
          </w:p>
        </w:tc>
        <w:tc>
          <w:tcPr>
            <w:tcW w:w="1575" w:type="dxa"/>
            <w:vAlign w:val="bottom"/>
          </w:tcPr>
          <w:p w14:paraId="6292B790" w14:textId="4AF44CAA" w:rsidR="001C6534" w:rsidRDefault="00CF303D" w:rsidP="001C6534">
            <w:pPr>
              <w:pStyle w:val="ListParagraph"/>
              <w:spacing w:line="276" w:lineRule="auto"/>
              <w:ind w:left="0"/>
              <w:jc w:val="center"/>
            </w:pPr>
            <w:r>
              <w:t>2.5%</w:t>
            </w:r>
          </w:p>
        </w:tc>
        <w:tc>
          <w:tcPr>
            <w:tcW w:w="1603" w:type="dxa"/>
            <w:vAlign w:val="bottom"/>
          </w:tcPr>
          <w:p w14:paraId="3198E7E1" w14:textId="33129B7A" w:rsidR="001C6534" w:rsidRDefault="001E34BE" w:rsidP="001C6534">
            <w:pPr>
              <w:pStyle w:val="ListParagraph"/>
              <w:spacing w:line="276" w:lineRule="auto"/>
              <w:ind w:left="0"/>
              <w:jc w:val="center"/>
            </w:pPr>
            <w:r>
              <w:t>130.2</w:t>
            </w:r>
          </w:p>
        </w:tc>
        <w:tc>
          <w:tcPr>
            <w:tcW w:w="1562" w:type="dxa"/>
            <w:vAlign w:val="bottom"/>
          </w:tcPr>
          <w:p w14:paraId="52047C80" w14:textId="46F64164" w:rsidR="001C6534" w:rsidRDefault="001E34BE" w:rsidP="001C6534">
            <w:pPr>
              <w:pStyle w:val="ListParagraph"/>
              <w:spacing w:line="276" w:lineRule="auto"/>
              <w:ind w:left="0"/>
              <w:jc w:val="center"/>
            </w:pPr>
            <w:r>
              <w:t>118.9</w:t>
            </w:r>
          </w:p>
        </w:tc>
      </w:tr>
      <w:tr w:rsidR="00CF303D" w14:paraId="2CFCB4D4" w14:textId="77777777" w:rsidTr="001E34BE">
        <w:trPr>
          <w:trHeight w:val="458"/>
        </w:trPr>
        <w:tc>
          <w:tcPr>
            <w:tcW w:w="1512" w:type="dxa"/>
            <w:vAlign w:val="bottom"/>
          </w:tcPr>
          <w:p w14:paraId="7379372F" w14:textId="408B2171" w:rsidR="001C6534" w:rsidRDefault="00CF303D" w:rsidP="001C6534">
            <w:pPr>
              <w:pStyle w:val="ListParagraph"/>
              <w:spacing w:line="276" w:lineRule="auto"/>
              <w:ind w:left="0"/>
              <w:jc w:val="center"/>
            </w:pPr>
            <w:r>
              <w:t>2014</w:t>
            </w:r>
          </w:p>
        </w:tc>
        <w:tc>
          <w:tcPr>
            <w:tcW w:w="1522" w:type="dxa"/>
            <w:vAlign w:val="bottom"/>
          </w:tcPr>
          <w:p w14:paraId="0C46FA4B" w14:textId="192880B7" w:rsidR="001C6534" w:rsidRDefault="001E34BE" w:rsidP="001C6534">
            <w:pPr>
              <w:pStyle w:val="ListParagraph"/>
              <w:spacing w:line="276" w:lineRule="auto"/>
              <w:ind w:left="0"/>
              <w:jc w:val="center"/>
            </w:pPr>
            <w:r>
              <w:t>2.7%</w:t>
            </w:r>
          </w:p>
        </w:tc>
        <w:tc>
          <w:tcPr>
            <w:tcW w:w="1575" w:type="dxa"/>
            <w:vAlign w:val="bottom"/>
          </w:tcPr>
          <w:p w14:paraId="19FCB83C" w14:textId="192DEE67" w:rsidR="001C6534" w:rsidRDefault="00CF303D" w:rsidP="001C6534">
            <w:pPr>
              <w:pStyle w:val="ListParagraph"/>
              <w:spacing w:line="276" w:lineRule="auto"/>
              <w:ind w:left="0"/>
              <w:jc w:val="center"/>
            </w:pPr>
            <w:r>
              <w:t>2.5%</w:t>
            </w:r>
          </w:p>
        </w:tc>
        <w:tc>
          <w:tcPr>
            <w:tcW w:w="1603" w:type="dxa"/>
            <w:vAlign w:val="bottom"/>
          </w:tcPr>
          <w:p w14:paraId="0F3496FD" w14:textId="7BFDF21C" w:rsidR="001C6534" w:rsidRDefault="001E34BE" w:rsidP="001C6534">
            <w:pPr>
              <w:pStyle w:val="ListParagraph"/>
              <w:spacing w:line="276" w:lineRule="auto"/>
              <w:ind w:left="0"/>
              <w:jc w:val="center"/>
            </w:pPr>
            <w:r>
              <w:t>133.7</w:t>
            </w:r>
          </w:p>
        </w:tc>
        <w:tc>
          <w:tcPr>
            <w:tcW w:w="1562" w:type="dxa"/>
            <w:vAlign w:val="bottom"/>
          </w:tcPr>
          <w:p w14:paraId="6F911C6F" w14:textId="50F78174" w:rsidR="001C6534" w:rsidRDefault="001E34BE" w:rsidP="001C6534">
            <w:pPr>
              <w:pStyle w:val="ListParagraph"/>
              <w:spacing w:line="276" w:lineRule="auto"/>
              <w:ind w:left="0"/>
              <w:jc w:val="center"/>
            </w:pPr>
            <w:r>
              <w:t>121.8</w:t>
            </w:r>
          </w:p>
        </w:tc>
      </w:tr>
      <w:tr w:rsidR="001E34BE" w14:paraId="763F0EEE" w14:textId="77777777" w:rsidTr="001E34BE">
        <w:trPr>
          <w:trHeight w:val="458"/>
        </w:trPr>
        <w:tc>
          <w:tcPr>
            <w:tcW w:w="1512" w:type="dxa"/>
            <w:vAlign w:val="bottom"/>
          </w:tcPr>
          <w:p w14:paraId="75B1EF12" w14:textId="5C481489" w:rsidR="001E34BE" w:rsidRDefault="001E34BE" w:rsidP="001E34BE">
            <w:pPr>
              <w:pStyle w:val="ListParagraph"/>
              <w:spacing w:line="276" w:lineRule="auto"/>
              <w:ind w:left="0"/>
              <w:jc w:val="center"/>
            </w:pPr>
            <w:r>
              <w:t>2015</w:t>
            </w:r>
          </w:p>
        </w:tc>
        <w:tc>
          <w:tcPr>
            <w:tcW w:w="1522" w:type="dxa"/>
            <w:vAlign w:val="bottom"/>
          </w:tcPr>
          <w:p w14:paraId="462D7F5F" w14:textId="7359A048" w:rsidR="001E34BE" w:rsidRDefault="001E34BE" w:rsidP="001E34BE">
            <w:pPr>
              <w:pStyle w:val="ListParagraph"/>
              <w:spacing w:line="276" w:lineRule="auto"/>
              <w:ind w:left="0"/>
              <w:jc w:val="center"/>
            </w:pPr>
            <w:r>
              <w:t>1.5%</w:t>
            </w:r>
          </w:p>
        </w:tc>
        <w:tc>
          <w:tcPr>
            <w:tcW w:w="1575" w:type="dxa"/>
            <w:vAlign w:val="bottom"/>
          </w:tcPr>
          <w:p w14:paraId="5A7C46D6" w14:textId="57CE03B4" w:rsidR="001E34BE" w:rsidRDefault="001E34BE" w:rsidP="001E34BE">
            <w:pPr>
              <w:pStyle w:val="ListParagraph"/>
              <w:spacing w:line="276" w:lineRule="auto"/>
              <w:ind w:left="0"/>
              <w:jc w:val="center"/>
            </w:pPr>
            <w:r>
              <w:t>1.5%</w:t>
            </w:r>
          </w:p>
        </w:tc>
        <w:tc>
          <w:tcPr>
            <w:tcW w:w="1603" w:type="dxa"/>
            <w:vAlign w:val="bottom"/>
          </w:tcPr>
          <w:p w14:paraId="6CB66C16" w14:textId="43C0AFA1" w:rsidR="001E34BE" w:rsidRDefault="001E34BE" w:rsidP="001E34BE">
            <w:pPr>
              <w:pStyle w:val="ListParagraph"/>
              <w:spacing w:line="276" w:lineRule="auto"/>
              <w:ind w:left="0"/>
              <w:jc w:val="center"/>
            </w:pPr>
            <w:r>
              <w:t>135.7</w:t>
            </w:r>
          </w:p>
        </w:tc>
        <w:tc>
          <w:tcPr>
            <w:tcW w:w="1562" w:type="dxa"/>
            <w:vAlign w:val="bottom"/>
          </w:tcPr>
          <w:p w14:paraId="2D5D7ADC" w14:textId="23902DA9" w:rsidR="001E34BE" w:rsidRDefault="001E34BE" w:rsidP="001E34BE">
            <w:pPr>
              <w:pStyle w:val="ListParagraph"/>
              <w:spacing w:line="276" w:lineRule="auto"/>
              <w:ind w:left="0"/>
              <w:jc w:val="center"/>
            </w:pPr>
            <w:r>
              <w:t>123.7</w:t>
            </w:r>
          </w:p>
        </w:tc>
      </w:tr>
      <w:tr w:rsidR="001E34BE" w14:paraId="581EB28C" w14:textId="77777777" w:rsidTr="001E34BE">
        <w:trPr>
          <w:trHeight w:val="458"/>
        </w:trPr>
        <w:tc>
          <w:tcPr>
            <w:tcW w:w="1512" w:type="dxa"/>
            <w:vAlign w:val="bottom"/>
          </w:tcPr>
          <w:p w14:paraId="6C2CA576" w14:textId="3DDBD207" w:rsidR="001E34BE" w:rsidRDefault="001E34BE" w:rsidP="001E34BE">
            <w:pPr>
              <w:pStyle w:val="ListParagraph"/>
              <w:spacing w:line="276" w:lineRule="auto"/>
              <w:ind w:left="0"/>
              <w:jc w:val="center"/>
            </w:pPr>
            <w:r>
              <w:t>2016</w:t>
            </w:r>
          </w:p>
        </w:tc>
        <w:tc>
          <w:tcPr>
            <w:tcW w:w="1522" w:type="dxa"/>
            <w:vAlign w:val="bottom"/>
          </w:tcPr>
          <w:p w14:paraId="07D49A61" w14:textId="5066ED94" w:rsidR="001E34BE" w:rsidRDefault="001E34BE" w:rsidP="001E34BE">
            <w:pPr>
              <w:pStyle w:val="ListParagraph"/>
              <w:spacing w:line="276" w:lineRule="auto"/>
              <w:ind w:left="0"/>
              <w:jc w:val="center"/>
            </w:pPr>
            <w:r>
              <w:t>0.1%</w:t>
            </w:r>
          </w:p>
        </w:tc>
        <w:tc>
          <w:tcPr>
            <w:tcW w:w="1575" w:type="dxa"/>
            <w:vAlign w:val="bottom"/>
          </w:tcPr>
          <w:p w14:paraId="02332E1E" w14:textId="537A2EE1" w:rsidR="001E34BE" w:rsidRDefault="001E34BE" w:rsidP="001E34BE">
            <w:pPr>
              <w:pStyle w:val="ListParagraph"/>
              <w:spacing w:line="276" w:lineRule="auto"/>
              <w:ind w:left="0"/>
              <w:jc w:val="center"/>
            </w:pPr>
            <w:r>
              <w:t>0.1%</w:t>
            </w:r>
          </w:p>
        </w:tc>
        <w:tc>
          <w:tcPr>
            <w:tcW w:w="1603" w:type="dxa"/>
            <w:vAlign w:val="bottom"/>
          </w:tcPr>
          <w:p w14:paraId="007CF531" w14:textId="71EF649E" w:rsidR="001E34BE" w:rsidRDefault="001E34BE" w:rsidP="001E34BE">
            <w:pPr>
              <w:pStyle w:val="ListParagraph"/>
              <w:spacing w:line="276" w:lineRule="auto"/>
              <w:ind w:left="0"/>
              <w:jc w:val="center"/>
            </w:pPr>
            <w:r>
              <w:t>135.8</w:t>
            </w:r>
          </w:p>
        </w:tc>
        <w:tc>
          <w:tcPr>
            <w:tcW w:w="1562" w:type="dxa"/>
            <w:vAlign w:val="bottom"/>
          </w:tcPr>
          <w:p w14:paraId="54D7066F" w14:textId="4304C631" w:rsidR="001E34BE" w:rsidRDefault="001E34BE" w:rsidP="001E34BE">
            <w:pPr>
              <w:pStyle w:val="ListParagraph"/>
              <w:spacing w:line="276" w:lineRule="auto"/>
              <w:ind w:left="0"/>
              <w:jc w:val="center"/>
            </w:pPr>
            <w:r>
              <w:t>123.8</w:t>
            </w:r>
          </w:p>
        </w:tc>
      </w:tr>
      <w:tr w:rsidR="001E34BE" w14:paraId="7F976267" w14:textId="77777777" w:rsidTr="001E34BE">
        <w:trPr>
          <w:trHeight w:val="458"/>
        </w:trPr>
        <w:tc>
          <w:tcPr>
            <w:tcW w:w="1512" w:type="dxa"/>
            <w:vAlign w:val="bottom"/>
          </w:tcPr>
          <w:p w14:paraId="2CB496FA" w14:textId="40CD1422" w:rsidR="001E34BE" w:rsidRDefault="001E34BE" w:rsidP="001E34BE">
            <w:pPr>
              <w:pStyle w:val="ListParagraph"/>
              <w:spacing w:line="276" w:lineRule="auto"/>
              <w:ind w:left="0"/>
              <w:jc w:val="center"/>
            </w:pPr>
            <w:r>
              <w:t>2017</w:t>
            </w:r>
          </w:p>
        </w:tc>
        <w:tc>
          <w:tcPr>
            <w:tcW w:w="1522" w:type="dxa"/>
            <w:vAlign w:val="bottom"/>
          </w:tcPr>
          <w:p w14:paraId="2710C0CD" w14:textId="17B537AF" w:rsidR="001E34BE" w:rsidRDefault="001E34BE" w:rsidP="001E34BE">
            <w:pPr>
              <w:pStyle w:val="ListParagraph"/>
              <w:spacing w:line="276" w:lineRule="auto"/>
              <w:ind w:left="0"/>
              <w:jc w:val="center"/>
            </w:pPr>
            <w:r>
              <w:t>0.3%</w:t>
            </w:r>
          </w:p>
        </w:tc>
        <w:tc>
          <w:tcPr>
            <w:tcW w:w="1575" w:type="dxa"/>
            <w:vAlign w:val="bottom"/>
          </w:tcPr>
          <w:p w14:paraId="48C132FE" w14:textId="6944FB18" w:rsidR="001E34BE" w:rsidRDefault="001E34BE" w:rsidP="001E34BE">
            <w:pPr>
              <w:pStyle w:val="ListParagraph"/>
              <w:spacing w:line="276" w:lineRule="auto"/>
              <w:ind w:left="0"/>
              <w:jc w:val="center"/>
            </w:pPr>
            <w:r>
              <w:t>0.3%</w:t>
            </w:r>
          </w:p>
        </w:tc>
        <w:tc>
          <w:tcPr>
            <w:tcW w:w="1603" w:type="dxa"/>
            <w:vAlign w:val="bottom"/>
          </w:tcPr>
          <w:p w14:paraId="36CE0ECB" w14:textId="027E90F7" w:rsidR="001E34BE" w:rsidRDefault="001E34BE" w:rsidP="001E34BE">
            <w:pPr>
              <w:pStyle w:val="ListParagraph"/>
              <w:spacing w:line="276" w:lineRule="auto"/>
              <w:ind w:left="0"/>
              <w:jc w:val="center"/>
            </w:pPr>
            <w:r>
              <w:t>136.2</w:t>
            </w:r>
          </w:p>
        </w:tc>
        <w:tc>
          <w:tcPr>
            <w:tcW w:w="1562" w:type="dxa"/>
            <w:vAlign w:val="bottom"/>
          </w:tcPr>
          <w:p w14:paraId="1A1A5764" w14:textId="25B25FAA" w:rsidR="001E34BE" w:rsidRDefault="001E34BE" w:rsidP="001E34BE">
            <w:pPr>
              <w:pStyle w:val="ListParagraph"/>
              <w:spacing w:line="276" w:lineRule="auto"/>
              <w:ind w:left="0"/>
              <w:jc w:val="center"/>
            </w:pPr>
            <w:r>
              <w:t>124.2</w:t>
            </w:r>
          </w:p>
        </w:tc>
      </w:tr>
      <w:tr w:rsidR="001E34BE" w14:paraId="0FDC4E97" w14:textId="77777777" w:rsidTr="001E34BE">
        <w:trPr>
          <w:trHeight w:val="458"/>
        </w:trPr>
        <w:tc>
          <w:tcPr>
            <w:tcW w:w="1512" w:type="dxa"/>
            <w:vAlign w:val="bottom"/>
          </w:tcPr>
          <w:p w14:paraId="6DA709C5" w14:textId="27473A35" w:rsidR="001E34BE" w:rsidRDefault="001E34BE" w:rsidP="001E34BE">
            <w:pPr>
              <w:pStyle w:val="ListParagraph"/>
              <w:spacing w:line="276" w:lineRule="auto"/>
              <w:ind w:left="0"/>
              <w:jc w:val="center"/>
            </w:pPr>
            <w:r>
              <w:t>2018</w:t>
            </w:r>
          </w:p>
        </w:tc>
        <w:tc>
          <w:tcPr>
            <w:tcW w:w="1522" w:type="dxa"/>
            <w:vAlign w:val="bottom"/>
          </w:tcPr>
          <w:p w14:paraId="3C2EAA40" w14:textId="78E1B8F6" w:rsidR="001E34BE" w:rsidRDefault="001E34BE" w:rsidP="001E34BE">
            <w:pPr>
              <w:pStyle w:val="ListParagraph"/>
              <w:spacing w:line="276" w:lineRule="auto"/>
              <w:ind w:left="0"/>
              <w:jc w:val="center"/>
            </w:pPr>
            <w:r>
              <w:t>2.9%</w:t>
            </w:r>
          </w:p>
        </w:tc>
        <w:tc>
          <w:tcPr>
            <w:tcW w:w="1575" w:type="dxa"/>
            <w:vAlign w:val="bottom"/>
          </w:tcPr>
          <w:p w14:paraId="65463170" w14:textId="1661AD8D" w:rsidR="001E34BE" w:rsidRDefault="001E34BE" w:rsidP="001E34BE">
            <w:pPr>
              <w:pStyle w:val="ListParagraph"/>
              <w:spacing w:line="276" w:lineRule="auto"/>
              <w:ind w:left="0"/>
              <w:jc w:val="center"/>
            </w:pPr>
            <w:r>
              <w:t>2.5%</w:t>
            </w:r>
          </w:p>
        </w:tc>
        <w:tc>
          <w:tcPr>
            <w:tcW w:w="1603" w:type="dxa"/>
            <w:vAlign w:val="bottom"/>
          </w:tcPr>
          <w:p w14:paraId="50E38DDF" w14:textId="74B45F40" w:rsidR="001E34BE" w:rsidRDefault="001E34BE" w:rsidP="001E34BE">
            <w:pPr>
              <w:pStyle w:val="ListParagraph"/>
              <w:spacing w:line="276" w:lineRule="auto"/>
              <w:ind w:left="0"/>
              <w:jc w:val="center"/>
            </w:pPr>
            <w:r>
              <w:t>140.2</w:t>
            </w:r>
          </w:p>
        </w:tc>
        <w:tc>
          <w:tcPr>
            <w:tcW w:w="1562" w:type="dxa"/>
            <w:vAlign w:val="bottom"/>
          </w:tcPr>
          <w:p w14:paraId="44C68B56" w14:textId="187BA92F" w:rsidR="001E34BE" w:rsidRDefault="001E34BE" w:rsidP="001E34BE">
            <w:pPr>
              <w:pStyle w:val="ListParagraph"/>
              <w:spacing w:line="276" w:lineRule="auto"/>
              <w:ind w:left="0"/>
              <w:jc w:val="center"/>
            </w:pPr>
            <w:r>
              <w:t>127.3</w:t>
            </w:r>
          </w:p>
        </w:tc>
      </w:tr>
      <w:tr w:rsidR="001E34BE" w14:paraId="5D145C72" w14:textId="77777777" w:rsidTr="001E34BE">
        <w:trPr>
          <w:trHeight w:val="458"/>
        </w:trPr>
        <w:tc>
          <w:tcPr>
            <w:tcW w:w="1512" w:type="dxa"/>
            <w:vAlign w:val="bottom"/>
          </w:tcPr>
          <w:p w14:paraId="11BFC35C" w14:textId="72533299" w:rsidR="001E34BE" w:rsidRDefault="001E34BE" w:rsidP="001E34BE">
            <w:pPr>
              <w:pStyle w:val="ListParagraph"/>
              <w:spacing w:line="276" w:lineRule="auto"/>
              <w:ind w:left="0"/>
              <w:jc w:val="center"/>
            </w:pPr>
            <w:r>
              <w:t>2019</w:t>
            </w:r>
          </w:p>
        </w:tc>
        <w:tc>
          <w:tcPr>
            <w:tcW w:w="1522" w:type="dxa"/>
            <w:vAlign w:val="bottom"/>
          </w:tcPr>
          <w:p w14:paraId="04B6655C" w14:textId="435E75D9" w:rsidR="001E34BE" w:rsidRDefault="001E34BE" w:rsidP="001E34BE">
            <w:pPr>
              <w:pStyle w:val="ListParagraph"/>
              <w:spacing w:line="276" w:lineRule="auto"/>
              <w:ind w:left="0"/>
              <w:jc w:val="center"/>
            </w:pPr>
            <w:r>
              <w:t>2.4%</w:t>
            </w:r>
          </w:p>
        </w:tc>
        <w:tc>
          <w:tcPr>
            <w:tcW w:w="1575" w:type="dxa"/>
            <w:vAlign w:val="bottom"/>
          </w:tcPr>
          <w:p w14:paraId="645B3217" w14:textId="33F0587C" w:rsidR="001E34BE" w:rsidRDefault="001E34BE" w:rsidP="001E34BE">
            <w:pPr>
              <w:pStyle w:val="ListParagraph"/>
              <w:spacing w:line="276" w:lineRule="auto"/>
              <w:ind w:left="0"/>
              <w:jc w:val="center"/>
            </w:pPr>
            <w:r>
              <w:t>2.4%</w:t>
            </w:r>
          </w:p>
        </w:tc>
        <w:tc>
          <w:tcPr>
            <w:tcW w:w="1603" w:type="dxa"/>
            <w:vAlign w:val="bottom"/>
          </w:tcPr>
          <w:p w14:paraId="199D9AFD" w14:textId="6C43DFAD" w:rsidR="001E34BE" w:rsidRDefault="001E34BE" w:rsidP="001E34BE">
            <w:pPr>
              <w:pStyle w:val="ListParagraph"/>
              <w:spacing w:line="276" w:lineRule="auto"/>
              <w:ind w:left="0"/>
              <w:jc w:val="center"/>
            </w:pPr>
            <w:r>
              <w:t>143.6</w:t>
            </w:r>
          </w:p>
        </w:tc>
        <w:tc>
          <w:tcPr>
            <w:tcW w:w="1562" w:type="dxa"/>
            <w:vAlign w:val="bottom"/>
          </w:tcPr>
          <w:p w14:paraId="4E4F8E56" w14:textId="659D4DAE" w:rsidR="001E34BE" w:rsidRDefault="001E34BE" w:rsidP="001E34BE">
            <w:pPr>
              <w:pStyle w:val="ListParagraph"/>
              <w:spacing w:line="276" w:lineRule="auto"/>
              <w:ind w:left="0"/>
              <w:jc w:val="center"/>
            </w:pPr>
            <w:r>
              <w:t>130.3</w:t>
            </w:r>
          </w:p>
        </w:tc>
      </w:tr>
      <w:tr w:rsidR="001E34BE" w14:paraId="4BF3A915" w14:textId="77777777" w:rsidTr="001E34BE">
        <w:trPr>
          <w:trHeight w:val="458"/>
        </w:trPr>
        <w:tc>
          <w:tcPr>
            <w:tcW w:w="1512" w:type="dxa"/>
            <w:vAlign w:val="bottom"/>
          </w:tcPr>
          <w:p w14:paraId="712B6E22" w14:textId="1A9CD1F7" w:rsidR="001E34BE" w:rsidRDefault="001E34BE" w:rsidP="001E34BE">
            <w:pPr>
              <w:pStyle w:val="ListParagraph"/>
              <w:spacing w:line="276" w:lineRule="auto"/>
              <w:ind w:left="0"/>
              <w:jc w:val="center"/>
            </w:pPr>
            <w:r>
              <w:t>2020</w:t>
            </w:r>
          </w:p>
        </w:tc>
        <w:tc>
          <w:tcPr>
            <w:tcW w:w="1522" w:type="dxa"/>
            <w:vAlign w:val="bottom"/>
          </w:tcPr>
          <w:p w14:paraId="2A2CFDB2" w14:textId="19DBCCB8" w:rsidR="001E34BE" w:rsidRDefault="001E34BE" w:rsidP="001E34BE">
            <w:pPr>
              <w:pStyle w:val="ListParagraph"/>
              <w:spacing w:line="276" w:lineRule="auto"/>
              <w:ind w:left="0"/>
              <w:jc w:val="center"/>
            </w:pPr>
            <w:r>
              <w:t>2.0%</w:t>
            </w:r>
          </w:p>
        </w:tc>
        <w:tc>
          <w:tcPr>
            <w:tcW w:w="1575" w:type="dxa"/>
            <w:vAlign w:val="bottom"/>
          </w:tcPr>
          <w:p w14:paraId="1B0D6C82" w14:textId="1AD4F74A" w:rsidR="001E34BE" w:rsidRDefault="001E34BE" w:rsidP="001E34BE">
            <w:pPr>
              <w:pStyle w:val="ListParagraph"/>
              <w:spacing w:line="276" w:lineRule="auto"/>
              <w:ind w:left="0"/>
              <w:jc w:val="center"/>
            </w:pPr>
            <w:r>
              <w:t>2.0%</w:t>
            </w:r>
          </w:p>
        </w:tc>
        <w:tc>
          <w:tcPr>
            <w:tcW w:w="1603" w:type="dxa"/>
            <w:vAlign w:val="bottom"/>
          </w:tcPr>
          <w:p w14:paraId="6D087EB5" w14:textId="031CA7FF" w:rsidR="001E34BE" w:rsidRDefault="001E34BE" w:rsidP="001E34BE">
            <w:pPr>
              <w:pStyle w:val="ListParagraph"/>
              <w:spacing w:line="276" w:lineRule="auto"/>
              <w:ind w:left="0"/>
              <w:jc w:val="center"/>
            </w:pPr>
            <w:r>
              <w:t>146.4</w:t>
            </w:r>
          </w:p>
        </w:tc>
        <w:tc>
          <w:tcPr>
            <w:tcW w:w="1562" w:type="dxa"/>
            <w:vAlign w:val="bottom"/>
          </w:tcPr>
          <w:p w14:paraId="79F1CA87" w14:textId="1735A854" w:rsidR="001E34BE" w:rsidRDefault="001E34BE" w:rsidP="001E34BE">
            <w:pPr>
              <w:pStyle w:val="ListParagraph"/>
              <w:spacing w:line="276" w:lineRule="auto"/>
              <w:ind w:left="0"/>
              <w:jc w:val="center"/>
            </w:pPr>
            <w:r>
              <w:t>132.9</w:t>
            </w:r>
          </w:p>
        </w:tc>
      </w:tr>
      <w:tr w:rsidR="001E34BE" w14:paraId="1996D8C0" w14:textId="77777777" w:rsidTr="001E34BE">
        <w:trPr>
          <w:trHeight w:val="458"/>
        </w:trPr>
        <w:tc>
          <w:tcPr>
            <w:tcW w:w="1512" w:type="dxa"/>
            <w:vAlign w:val="bottom"/>
          </w:tcPr>
          <w:p w14:paraId="5DAA7733" w14:textId="72E4EC3F" w:rsidR="001E34BE" w:rsidRDefault="001E34BE" w:rsidP="001E34BE">
            <w:pPr>
              <w:pStyle w:val="ListParagraph"/>
              <w:spacing w:line="276" w:lineRule="auto"/>
              <w:ind w:left="0"/>
              <w:jc w:val="center"/>
            </w:pPr>
            <w:r>
              <w:t>2021</w:t>
            </w:r>
          </w:p>
        </w:tc>
        <w:tc>
          <w:tcPr>
            <w:tcW w:w="1522" w:type="dxa"/>
            <w:vAlign w:val="bottom"/>
          </w:tcPr>
          <w:p w14:paraId="6FABC0EE" w14:textId="20495BE1" w:rsidR="001E34BE" w:rsidRDefault="001E34BE" w:rsidP="001E34BE">
            <w:pPr>
              <w:pStyle w:val="ListParagraph"/>
              <w:spacing w:line="276" w:lineRule="auto"/>
              <w:ind w:left="0"/>
              <w:jc w:val="center"/>
            </w:pPr>
            <w:r>
              <w:t>0.5%</w:t>
            </w:r>
          </w:p>
        </w:tc>
        <w:tc>
          <w:tcPr>
            <w:tcW w:w="1575" w:type="dxa"/>
            <w:vAlign w:val="bottom"/>
          </w:tcPr>
          <w:p w14:paraId="2B156FC3" w14:textId="14F8B5F5" w:rsidR="001E34BE" w:rsidRDefault="001E34BE" w:rsidP="001E34BE">
            <w:pPr>
              <w:pStyle w:val="ListParagraph"/>
              <w:spacing w:line="276" w:lineRule="auto"/>
              <w:ind w:left="0"/>
              <w:jc w:val="center"/>
            </w:pPr>
            <w:r>
              <w:t>0.5%</w:t>
            </w:r>
          </w:p>
        </w:tc>
        <w:tc>
          <w:tcPr>
            <w:tcW w:w="1603" w:type="dxa"/>
            <w:vAlign w:val="bottom"/>
          </w:tcPr>
          <w:p w14:paraId="706D44B5" w14:textId="6871AB91" w:rsidR="001E34BE" w:rsidRDefault="001E34BE" w:rsidP="001E34BE">
            <w:pPr>
              <w:pStyle w:val="ListParagraph"/>
              <w:spacing w:line="276" w:lineRule="auto"/>
              <w:ind w:left="0"/>
              <w:jc w:val="center"/>
            </w:pPr>
            <w:r>
              <w:t>147.2</w:t>
            </w:r>
          </w:p>
        </w:tc>
        <w:tc>
          <w:tcPr>
            <w:tcW w:w="1562" w:type="dxa"/>
            <w:vAlign w:val="bottom"/>
          </w:tcPr>
          <w:p w14:paraId="2AF1CECA" w14:textId="7D60B751" w:rsidR="001E34BE" w:rsidRDefault="001E34BE" w:rsidP="001E34BE">
            <w:pPr>
              <w:pStyle w:val="ListParagraph"/>
              <w:spacing w:line="276" w:lineRule="auto"/>
              <w:ind w:left="0"/>
              <w:jc w:val="center"/>
            </w:pPr>
            <w:r>
              <w:t>133.6</w:t>
            </w:r>
          </w:p>
        </w:tc>
      </w:tr>
      <w:tr w:rsidR="001E34BE" w14:paraId="729F101E" w14:textId="77777777" w:rsidTr="001E34BE">
        <w:trPr>
          <w:trHeight w:val="458"/>
        </w:trPr>
        <w:tc>
          <w:tcPr>
            <w:tcW w:w="1512" w:type="dxa"/>
            <w:vAlign w:val="bottom"/>
          </w:tcPr>
          <w:p w14:paraId="4B060E86" w14:textId="0DE02472" w:rsidR="001E34BE" w:rsidRDefault="001E34BE" w:rsidP="001E34BE">
            <w:pPr>
              <w:pStyle w:val="ListParagraph"/>
              <w:spacing w:line="276" w:lineRule="auto"/>
              <w:ind w:left="0"/>
              <w:jc w:val="center"/>
            </w:pPr>
            <w:r>
              <w:t>2022</w:t>
            </w:r>
          </w:p>
        </w:tc>
        <w:tc>
          <w:tcPr>
            <w:tcW w:w="1522" w:type="dxa"/>
            <w:vAlign w:val="bottom"/>
          </w:tcPr>
          <w:p w14:paraId="4267FD2D" w14:textId="39568095" w:rsidR="001E34BE" w:rsidRDefault="001E34BE" w:rsidP="001E34BE">
            <w:pPr>
              <w:pStyle w:val="ListParagraph"/>
              <w:spacing w:line="276" w:lineRule="auto"/>
              <w:ind w:left="0"/>
              <w:jc w:val="center"/>
            </w:pPr>
            <w:r>
              <w:t>2.1%</w:t>
            </w:r>
          </w:p>
        </w:tc>
        <w:tc>
          <w:tcPr>
            <w:tcW w:w="1575" w:type="dxa"/>
            <w:vAlign w:val="bottom"/>
          </w:tcPr>
          <w:p w14:paraId="2A6880AA" w14:textId="47243BB7" w:rsidR="001E34BE" w:rsidRDefault="001E34BE" w:rsidP="001E34BE">
            <w:pPr>
              <w:pStyle w:val="ListParagraph"/>
              <w:spacing w:line="276" w:lineRule="auto"/>
              <w:ind w:left="0"/>
              <w:jc w:val="center"/>
            </w:pPr>
            <w:r>
              <w:t>2.1%</w:t>
            </w:r>
          </w:p>
        </w:tc>
        <w:tc>
          <w:tcPr>
            <w:tcW w:w="1603" w:type="dxa"/>
            <w:vAlign w:val="bottom"/>
          </w:tcPr>
          <w:p w14:paraId="061CC105" w14:textId="2A39750A" w:rsidR="001E34BE" w:rsidRDefault="001E34BE" w:rsidP="001E34BE">
            <w:pPr>
              <w:pStyle w:val="ListParagraph"/>
              <w:spacing w:line="276" w:lineRule="auto"/>
              <w:ind w:left="0"/>
              <w:jc w:val="center"/>
            </w:pPr>
            <w:r>
              <w:t>150.2</w:t>
            </w:r>
          </w:p>
        </w:tc>
        <w:tc>
          <w:tcPr>
            <w:tcW w:w="1562" w:type="dxa"/>
            <w:vAlign w:val="bottom"/>
          </w:tcPr>
          <w:p w14:paraId="18258654" w14:textId="0B2D1C9F" w:rsidR="001E34BE" w:rsidRDefault="001E34BE" w:rsidP="001E34BE">
            <w:pPr>
              <w:pStyle w:val="ListParagraph"/>
              <w:spacing w:line="276" w:lineRule="auto"/>
              <w:ind w:left="0"/>
              <w:jc w:val="center"/>
            </w:pPr>
            <w:r>
              <w:t>136.4</w:t>
            </w:r>
          </w:p>
        </w:tc>
      </w:tr>
      <w:tr w:rsidR="001E34BE" w14:paraId="15E751CA" w14:textId="77777777" w:rsidTr="001E34BE">
        <w:trPr>
          <w:trHeight w:val="458"/>
        </w:trPr>
        <w:tc>
          <w:tcPr>
            <w:tcW w:w="1512" w:type="dxa"/>
            <w:vAlign w:val="bottom"/>
          </w:tcPr>
          <w:p w14:paraId="5B3A334D" w14:textId="173C2BA2" w:rsidR="001E34BE" w:rsidRDefault="001E34BE" w:rsidP="001E34BE">
            <w:pPr>
              <w:pStyle w:val="ListParagraph"/>
              <w:spacing w:line="276" w:lineRule="auto"/>
              <w:ind w:left="0"/>
              <w:jc w:val="center"/>
            </w:pPr>
            <w:r>
              <w:t>2023</w:t>
            </w:r>
          </w:p>
        </w:tc>
        <w:tc>
          <w:tcPr>
            <w:tcW w:w="1522" w:type="dxa"/>
            <w:vAlign w:val="bottom"/>
          </w:tcPr>
          <w:p w14:paraId="62CEFA18" w14:textId="37337927" w:rsidR="001E34BE" w:rsidRDefault="001E34BE" w:rsidP="001E34BE">
            <w:pPr>
              <w:pStyle w:val="ListParagraph"/>
              <w:spacing w:line="276" w:lineRule="auto"/>
              <w:ind w:left="0"/>
              <w:jc w:val="center"/>
            </w:pPr>
            <w:r>
              <w:t>9.1%</w:t>
            </w:r>
          </w:p>
        </w:tc>
        <w:tc>
          <w:tcPr>
            <w:tcW w:w="1575" w:type="dxa"/>
            <w:vAlign w:val="bottom"/>
          </w:tcPr>
          <w:p w14:paraId="395D64DA" w14:textId="5413A9EE" w:rsidR="001E34BE" w:rsidRDefault="001E34BE" w:rsidP="001E34BE">
            <w:pPr>
              <w:pStyle w:val="ListParagraph"/>
              <w:spacing w:line="276" w:lineRule="auto"/>
              <w:ind w:left="0"/>
              <w:jc w:val="center"/>
            </w:pPr>
            <w:r>
              <w:t>2.5%</w:t>
            </w:r>
          </w:p>
        </w:tc>
        <w:tc>
          <w:tcPr>
            <w:tcW w:w="1603" w:type="dxa"/>
            <w:vAlign w:val="bottom"/>
          </w:tcPr>
          <w:p w14:paraId="4EF2DBE2" w14:textId="3C86DC6A" w:rsidR="001E34BE" w:rsidRDefault="001E34BE" w:rsidP="001E34BE">
            <w:pPr>
              <w:pStyle w:val="ListParagraph"/>
              <w:spacing w:line="276" w:lineRule="auto"/>
              <w:ind w:left="0"/>
              <w:jc w:val="center"/>
            </w:pPr>
            <w:r>
              <w:t>163.9</w:t>
            </w:r>
          </w:p>
        </w:tc>
        <w:tc>
          <w:tcPr>
            <w:tcW w:w="1562" w:type="dxa"/>
            <w:vAlign w:val="bottom"/>
          </w:tcPr>
          <w:p w14:paraId="55EA3B07" w14:textId="0C2C7F84" w:rsidR="001E34BE" w:rsidRDefault="001E34BE" w:rsidP="001E34BE">
            <w:pPr>
              <w:pStyle w:val="ListParagraph"/>
              <w:spacing w:line="276" w:lineRule="auto"/>
              <w:ind w:left="0"/>
              <w:jc w:val="center"/>
            </w:pPr>
            <w:r>
              <w:t>139.8</w:t>
            </w:r>
          </w:p>
        </w:tc>
      </w:tr>
    </w:tbl>
    <w:p w14:paraId="76E4FECF" w14:textId="77777777" w:rsidR="001C6534" w:rsidRDefault="001C6534" w:rsidP="001C6534">
      <w:pPr>
        <w:pStyle w:val="ListParagraph"/>
        <w:spacing w:line="276" w:lineRule="auto"/>
      </w:pPr>
    </w:p>
    <w:p w14:paraId="4008F274" w14:textId="2C1F8119" w:rsidR="00E7294B" w:rsidRDefault="00E7294B" w:rsidP="00E7294B">
      <w:pPr>
        <w:pStyle w:val="ListParagraph"/>
        <w:numPr>
          <w:ilvl w:val="0"/>
          <w:numId w:val="10"/>
        </w:numPr>
        <w:spacing w:line="276" w:lineRule="auto"/>
      </w:pPr>
      <w:r>
        <w:lastRenderedPageBreak/>
        <w:t>The data above shows that capping compensation for “post-1997” service in this example would have reduced its purchasing power by over 17% by now.</w:t>
      </w:r>
    </w:p>
    <w:p w14:paraId="589AA930" w14:textId="4EE575AA" w:rsidR="00E7294B" w:rsidRDefault="00E7294B" w:rsidP="00E7294B">
      <w:pPr>
        <w:pStyle w:val="ListParagraph"/>
        <w:spacing w:line="276" w:lineRule="auto"/>
      </w:pPr>
    </w:p>
    <w:p w14:paraId="366D4FEE" w14:textId="748626FD" w:rsidR="00D23B79" w:rsidRDefault="00E7294B" w:rsidP="00E7294B">
      <w:pPr>
        <w:pStyle w:val="ListParagraph"/>
        <w:numPr>
          <w:ilvl w:val="0"/>
          <w:numId w:val="10"/>
        </w:numPr>
        <w:spacing w:line="276" w:lineRule="auto"/>
      </w:pPr>
      <w:r>
        <w:t>It is possible that ministers underestimated the impact of the cap on compensation increase</w:t>
      </w:r>
      <w:r w:rsidR="009A373B">
        <w:t>s</w:t>
      </w:r>
      <w:r>
        <w:t xml:space="preserve"> when it was first proposed. </w:t>
      </w:r>
      <w:r w:rsidR="00D23B79">
        <w:t>In the white paper following its consultation on the level of inflation protection to require in occupational pension schemes, the government stated</w:t>
      </w:r>
      <w:r w:rsidR="00D23B79">
        <w:rPr>
          <w:rStyle w:val="FootnoteReference"/>
        </w:rPr>
        <w:footnoteReference w:id="13"/>
      </w:r>
      <w:r w:rsidR="00D23B79">
        <w:t>: “</w:t>
      </w:r>
      <w:r w:rsidR="00D23B79" w:rsidRPr="00D23B79">
        <w:t>In 1995, when the legislation introducing LPI was passed, long-term expectations of inflation were significantly higher: the 5 per cent cap was only intended to provide for partial cover against inflation. But the Government’s success in reducing inflation means that mandatory indexation has effectively become full inflation cover, something which is proving disproportionately expensive for some schemes to provide.</w:t>
      </w:r>
      <w:r w:rsidR="00D23B79">
        <w:t>”</w:t>
      </w:r>
    </w:p>
    <w:p w14:paraId="1AA01FA0" w14:textId="77777777" w:rsidR="00D23B79" w:rsidRDefault="00D23B79" w:rsidP="00D23B79">
      <w:pPr>
        <w:pStyle w:val="ListParagraph"/>
      </w:pPr>
    </w:p>
    <w:p w14:paraId="1FE50E92" w14:textId="77777777" w:rsidR="00A42E00" w:rsidRDefault="00D23B79" w:rsidP="00E7294B">
      <w:pPr>
        <w:pStyle w:val="ListParagraph"/>
        <w:numPr>
          <w:ilvl w:val="0"/>
          <w:numId w:val="10"/>
        </w:numPr>
        <w:spacing w:line="276" w:lineRule="auto"/>
      </w:pPr>
      <w:r>
        <w:t>Another difference in the treatment of increases for compensation in respect of “pre-1997” and “post-1997” service</w:t>
      </w:r>
      <w:r w:rsidR="00A42E00">
        <w:t>,</w:t>
      </w:r>
      <w:r>
        <w:t xml:space="preserve"> is that the Pensions Act 2004 gives the</w:t>
      </w:r>
      <w:r w:rsidR="000F59B2">
        <w:t xml:space="preserve"> Board of the PPF discretion to apply a different increase to compensation in respect of “post-1997” service than </w:t>
      </w:r>
      <w:r w:rsidR="00A42E00">
        <w:t>stated above (Paragraph 29(2) of Schedule 7: “</w:t>
      </w:r>
      <w:r w:rsidR="00A42E00" w:rsidRPr="00A42E00">
        <w:t>The Board may also determine the percentage that is to be the appropriate percentage for the purposes of paragraph 28 (and where it does so the definition of “appropriate percentage” in paragraph 28(3) does not apply).</w:t>
      </w:r>
      <w:r w:rsidR="00A42E00">
        <w:t xml:space="preserve">”). </w:t>
      </w:r>
    </w:p>
    <w:p w14:paraId="316CB6BB" w14:textId="77777777" w:rsidR="00A42E00" w:rsidRDefault="00A42E00" w:rsidP="00A42E00">
      <w:pPr>
        <w:pStyle w:val="ListParagraph"/>
      </w:pPr>
    </w:p>
    <w:p w14:paraId="4B052A1A" w14:textId="6E106E74" w:rsidR="00193617" w:rsidRDefault="00A42E00" w:rsidP="00E7294B">
      <w:pPr>
        <w:pStyle w:val="ListParagraph"/>
        <w:numPr>
          <w:ilvl w:val="0"/>
          <w:numId w:val="10"/>
        </w:numPr>
        <w:spacing w:line="276" w:lineRule="auto"/>
      </w:pPr>
      <w:r>
        <w:t>This means that the Board already has discretion</w:t>
      </w:r>
      <w:r w:rsidR="00BC490A">
        <w:t xml:space="preserve"> to</w:t>
      </w:r>
      <w:r w:rsidR="009A373B">
        <w:t xml:space="preserve"> increase compensation in respect of “post-1997” service by more than 2.5%. The Committee should question representatives of the Board of the PPF about its policy for applying this discretion and </w:t>
      </w:r>
      <w:r w:rsidR="00193617">
        <w:t>the assessment it made about applying it to increases from 1 January 2023.</w:t>
      </w:r>
    </w:p>
    <w:p w14:paraId="202D0D2A" w14:textId="77777777" w:rsidR="00193617" w:rsidRDefault="00193617" w:rsidP="00193617">
      <w:pPr>
        <w:pStyle w:val="ListParagraph"/>
      </w:pPr>
    </w:p>
    <w:p w14:paraId="00829299" w14:textId="595DF503" w:rsidR="00193617" w:rsidRPr="00193617" w:rsidRDefault="00193617" w:rsidP="00193617">
      <w:pPr>
        <w:pStyle w:val="ListParagraph"/>
        <w:numPr>
          <w:ilvl w:val="0"/>
          <w:numId w:val="11"/>
        </w:numPr>
        <w:spacing w:line="276" w:lineRule="auto"/>
      </w:pPr>
      <w:r>
        <w:rPr>
          <w:b/>
          <w:bCs/>
        </w:rPr>
        <w:t>Minimum required level of compensation</w:t>
      </w:r>
    </w:p>
    <w:p w14:paraId="3BB1581C" w14:textId="77777777" w:rsidR="00193617" w:rsidRDefault="00193617" w:rsidP="00193617">
      <w:pPr>
        <w:pStyle w:val="ListParagraph"/>
        <w:spacing w:line="276" w:lineRule="auto"/>
        <w:ind w:left="1440"/>
      </w:pPr>
    </w:p>
    <w:p w14:paraId="1308D988" w14:textId="77777777" w:rsidR="00193617" w:rsidRDefault="00193617" w:rsidP="00193617">
      <w:pPr>
        <w:pStyle w:val="ListParagraph"/>
        <w:numPr>
          <w:ilvl w:val="0"/>
          <w:numId w:val="10"/>
        </w:numPr>
        <w:spacing w:line="276" w:lineRule="auto"/>
      </w:pPr>
      <w:r>
        <w:t xml:space="preserve">The CJEU established the minimum levels of compensation payable in the Hampshire and Bauer cases (50% of accrued benefits subject to any reduction not taking benefits to a level </w:t>
      </w:r>
      <w:r w:rsidRPr="00193617">
        <w:t>where it would cause the member to live below the at-risk-of-poverty threshold)</w:t>
      </w:r>
      <w:r>
        <w:t>.</w:t>
      </w:r>
    </w:p>
    <w:p w14:paraId="12D96E6E" w14:textId="56D625FD" w:rsidR="00193617" w:rsidRDefault="00193617" w:rsidP="00193617">
      <w:pPr>
        <w:pStyle w:val="ListParagraph"/>
        <w:spacing w:line="276" w:lineRule="auto"/>
      </w:pPr>
    </w:p>
    <w:p w14:paraId="0548F3E2" w14:textId="77777777" w:rsidR="00193617" w:rsidRDefault="00193617" w:rsidP="00193617">
      <w:pPr>
        <w:pStyle w:val="ListParagraph"/>
        <w:numPr>
          <w:ilvl w:val="0"/>
          <w:numId w:val="10"/>
        </w:numPr>
        <w:spacing w:line="276" w:lineRule="auto"/>
      </w:pPr>
      <w:r>
        <w:t xml:space="preserve">At the fourth sitting of the House of Commons bill committee for the </w:t>
      </w:r>
      <w:r w:rsidRPr="00193617">
        <w:t>Retained EU Law (Revocation and Reform) Bill</w:t>
      </w:r>
      <w:r>
        <w:rPr>
          <w:rStyle w:val="FootnoteReference"/>
        </w:rPr>
        <w:footnoteReference w:id="14"/>
      </w:r>
      <w:r>
        <w:t xml:space="preserve"> amendments were proposed to retain these minimum levels of compensation.</w:t>
      </w:r>
    </w:p>
    <w:p w14:paraId="5AC0D6A1" w14:textId="77777777" w:rsidR="00193617" w:rsidRDefault="00193617" w:rsidP="00193617">
      <w:pPr>
        <w:pStyle w:val="ListParagraph"/>
      </w:pPr>
    </w:p>
    <w:p w14:paraId="348D1DFC" w14:textId="77777777" w:rsidR="00193617" w:rsidRDefault="00193617" w:rsidP="00193617">
      <w:pPr>
        <w:pStyle w:val="ListParagraph"/>
        <w:numPr>
          <w:ilvl w:val="0"/>
          <w:numId w:val="10"/>
        </w:numPr>
        <w:spacing w:line="276" w:lineRule="auto"/>
      </w:pPr>
      <w:r>
        <w:t>The government rejected these amendments because the judgments are</w:t>
      </w:r>
      <w:r w:rsidRPr="00193617">
        <w:t xml:space="preserve"> </w:t>
      </w:r>
      <w:r>
        <w:t>“</w:t>
      </w:r>
      <w:r w:rsidRPr="00193617">
        <w:t>a clear example of where an EU judgment conflicts with the UK government’s policies</w:t>
      </w:r>
      <w:r>
        <w:t>”.</w:t>
      </w:r>
    </w:p>
    <w:p w14:paraId="24C42A0F" w14:textId="77777777" w:rsidR="00193617" w:rsidRDefault="00193617" w:rsidP="00193617">
      <w:pPr>
        <w:pStyle w:val="ListParagraph"/>
      </w:pPr>
    </w:p>
    <w:p w14:paraId="55162546" w14:textId="70628030" w:rsidR="00E7294B" w:rsidRDefault="00193617" w:rsidP="00193617">
      <w:pPr>
        <w:pStyle w:val="ListParagraph"/>
        <w:numPr>
          <w:ilvl w:val="0"/>
          <w:numId w:val="10"/>
        </w:numPr>
        <w:spacing w:line="276" w:lineRule="auto"/>
      </w:pPr>
      <w:r>
        <w:t xml:space="preserve">This is a desperately disappointing position. At no point did Brexit campaigners cite lower pension protections as a benefit of leaving the EU. These changes are unnecessary given the funding position of the PPF. The Committee should recommend that government retain the current minimum level of protection.   </w:t>
      </w:r>
      <w:r w:rsidR="009A373B">
        <w:t xml:space="preserve"> </w:t>
      </w:r>
      <w:r w:rsidR="00BC490A">
        <w:t xml:space="preserve"> </w:t>
      </w:r>
      <w:r w:rsidR="00A42E00">
        <w:t xml:space="preserve"> </w:t>
      </w:r>
      <w:r w:rsidR="000F59B2">
        <w:t xml:space="preserve"> </w:t>
      </w:r>
      <w:r w:rsidR="00D23B79">
        <w:t xml:space="preserve"> </w:t>
      </w:r>
      <w:r w:rsidR="00E7294B">
        <w:t xml:space="preserve">  </w:t>
      </w:r>
    </w:p>
    <w:sectPr w:rsidR="00E7294B" w:rsidSect="00064CC8">
      <w:footerReference w:type="even" r:id="rId11"/>
      <w:footerReference w:type="default" r:id="rId12"/>
      <w:headerReference w:type="first" r:id="rId13"/>
      <w:pgSz w:w="11906" w:h="16838" w:code="9"/>
      <w:pgMar w:top="1134" w:right="1701" w:bottom="1134" w:left="1701" w:header="720" w:footer="794" w:gutter="0"/>
      <w:pgNumType w:start="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320A" w14:textId="77777777" w:rsidR="00FF4376" w:rsidRDefault="00FF4376">
      <w:r>
        <w:separator/>
      </w:r>
    </w:p>
  </w:endnote>
  <w:endnote w:type="continuationSeparator" w:id="0">
    <w:p w14:paraId="3DE590D6" w14:textId="77777777" w:rsidR="00FF4376" w:rsidRDefault="00FF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1780" w14:textId="08533A4D" w:rsidR="00762088" w:rsidRDefault="00762088" w:rsidP="00065290">
    <w:pPr>
      <w:pStyle w:val="Footer"/>
      <w:pBdr>
        <w:top w:val="single" w:sz="4" w:space="3" w:color="auto"/>
      </w:pBdr>
      <w:tabs>
        <w:tab w:val="right" w:pos="8504"/>
      </w:tabs>
    </w:pPr>
    <w:r w:rsidRPr="00762088">
      <w:tab/>
      <w:t xml:space="preserve">Page </w:t>
    </w:r>
    <w:r>
      <w:fldChar w:fldCharType="begin"/>
    </w:r>
    <w:r>
      <w:instrText xml:space="preserve"> PAGE   \* MERGEFORMAT </w:instrText>
    </w:r>
    <w:r>
      <w:fldChar w:fldCharType="separate"/>
    </w:r>
    <w:r w:rsidR="004D196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498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74E512BD"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6B08"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4D1968">
      <w:rPr>
        <w:noProof/>
      </w:rPr>
      <w:t>6</w:t>
    </w:r>
    <w:r>
      <w:fldChar w:fldCharType="end"/>
    </w:r>
  </w:p>
  <w:p w14:paraId="6BFB03F2"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6A8F" w14:textId="77777777" w:rsidR="00FF4376" w:rsidRDefault="00FF4376">
      <w:r>
        <w:separator/>
      </w:r>
    </w:p>
  </w:footnote>
  <w:footnote w:type="continuationSeparator" w:id="0">
    <w:p w14:paraId="1D5FCE59" w14:textId="77777777" w:rsidR="00FF4376" w:rsidRDefault="00FF4376">
      <w:r>
        <w:continuationSeparator/>
      </w:r>
    </w:p>
  </w:footnote>
  <w:footnote w:id="1">
    <w:p w14:paraId="6BF4A694" w14:textId="333B0B2E" w:rsidR="008B5403" w:rsidRDefault="008B5403">
      <w:pPr>
        <w:pStyle w:val="FootnoteText"/>
      </w:pPr>
      <w:r>
        <w:rPr>
          <w:rStyle w:val="FootnoteReference"/>
        </w:rPr>
        <w:footnoteRef/>
      </w:r>
      <w:r>
        <w:t xml:space="preserve"> </w:t>
      </w:r>
      <w:hyperlink r:id="rId1" w:history="1">
        <w:r w:rsidRPr="008B5403">
          <w:rPr>
            <w:color w:val="0000FF"/>
            <w:sz w:val="21"/>
            <w:szCs w:val="21"/>
            <w:u w:val="single"/>
          </w:rPr>
          <w:t>Hampshire v The Board of the Pension Protection Fund - Find case law (nationalarchives.gov.uk)</w:t>
        </w:r>
      </w:hyperlink>
    </w:p>
  </w:footnote>
  <w:footnote w:id="2">
    <w:p w14:paraId="0B88CD96" w14:textId="21C342F6" w:rsidR="003F68B9" w:rsidRDefault="003F68B9">
      <w:pPr>
        <w:pStyle w:val="FootnoteText"/>
      </w:pPr>
      <w:r>
        <w:rPr>
          <w:rStyle w:val="FootnoteReference"/>
        </w:rPr>
        <w:footnoteRef/>
      </w:r>
      <w:r>
        <w:t xml:space="preserve"> </w:t>
      </w:r>
      <w:hyperlink r:id="rId2" w:history="1">
        <w:r>
          <w:rPr>
            <w:rStyle w:val="Hyperlink"/>
          </w:rPr>
          <w:t>EUR-Lex - 62017CJ0017 - EN - EUR-Lex (europa.eu)</w:t>
        </w:r>
      </w:hyperlink>
    </w:p>
  </w:footnote>
  <w:footnote w:id="3">
    <w:p w14:paraId="275D6380" w14:textId="60C3F329" w:rsidR="003F68B9" w:rsidRDefault="003F68B9">
      <w:pPr>
        <w:pStyle w:val="FootnoteText"/>
      </w:pPr>
      <w:r>
        <w:rPr>
          <w:rStyle w:val="FootnoteReference"/>
        </w:rPr>
        <w:footnoteRef/>
      </w:r>
      <w:r>
        <w:t xml:space="preserve"> </w:t>
      </w:r>
      <w:hyperlink r:id="rId3" w:history="1">
        <w:r w:rsidR="00E8361E" w:rsidRPr="00E8361E">
          <w:rPr>
            <w:rStyle w:val="Hyperlink"/>
          </w:rPr>
          <w:t>EUR-Lex - 62018CJ0168 - EN - EUR-Lex (europa.eu)</w:t>
        </w:r>
      </w:hyperlink>
    </w:p>
  </w:footnote>
  <w:footnote w:id="4">
    <w:p w14:paraId="4AC537C0" w14:textId="35FEDCC7" w:rsidR="00212E48" w:rsidRDefault="00212E48">
      <w:pPr>
        <w:pStyle w:val="FootnoteText"/>
      </w:pPr>
      <w:r>
        <w:rPr>
          <w:rStyle w:val="FootnoteReference"/>
        </w:rPr>
        <w:footnoteRef/>
      </w:r>
      <w:r>
        <w:t xml:space="preserve"> </w:t>
      </w:r>
      <w:hyperlink r:id="rId4" w:history="1">
        <w:r>
          <w:rPr>
            <w:rStyle w:val="Hyperlink"/>
          </w:rPr>
          <w:t>Annual Report 2021/22 | Pension Protection Fund (ppf.co.uk)</w:t>
        </w:r>
      </w:hyperlink>
    </w:p>
  </w:footnote>
  <w:footnote w:id="5">
    <w:p w14:paraId="3A35BDB4" w14:textId="1017B3DD" w:rsidR="006B7F17" w:rsidRDefault="006B7F17">
      <w:pPr>
        <w:pStyle w:val="FootnoteText"/>
      </w:pPr>
      <w:r>
        <w:rPr>
          <w:rStyle w:val="FootnoteReference"/>
        </w:rPr>
        <w:footnoteRef/>
      </w:r>
      <w:r>
        <w:t xml:space="preserve"> </w:t>
      </w:r>
      <w:hyperlink r:id="rId5" w:history="1">
        <w:r>
          <w:rPr>
            <w:rStyle w:val="Hyperlink"/>
          </w:rPr>
          <w:t>PPF7800 Index</w:t>
        </w:r>
      </w:hyperlink>
    </w:p>
  </w:footnote>
  <w:footnote w:id="6">
    <w:p w14:paraId="61384AAC" w14:textId="58AD5EEA" w:rsidR="00774600" w:rsidRDefault="00774600">
      <w:pPr>
        <w:pStyle w:val="FootnoteText"/>
      </w:pPr>
      <w:r>
        <w:rPr>
          <w:rStyle w:val="FootnoteReference"/>
        </w:rPr>
        <w:footnoteRef/>
      </w:r>
      <w:r>
        <w:t xml:space="preserve"> </w:t>
      </w:r>
      <w:hyperlink r:id="rId6" w:history="1">
        <w:r>
          <w:rPr>
            <w:rStyle w:val="Hyperlink"/>
          </w:rPr>
          <w:t>Long-Term Funding Strategy Review 2022 Review 2022 (ppf.co.uk)</w:t>
        </w:r>
      </w:hyperlink>
    </w:p>
  </w:footnote>
  <w:footnote w:id="7">
    <w:p w14:paraId="16EBB439" w14:textId="38567143" w:rsidR="00413D37" w:rsidRDefault="00413D37">
      <w:pPr>
        <w:pStyle w:val="FootnoteText"/>
      </w:pPr>
      <w:r>
        <w:rPr>
          <w:rStyle w:val="FootnoteReference"/>
        </w:rPr>
        <w:footnoteRef/>
      </w:r>
      <w:r>
        <w:t xml:space="preserve"> </w:t>
      </w:r>
      <w:hyperlink r:id="rId7" w:history="1">
        <w:r>
          <w:rPr>
            <w:rStyle w:val="Hyperlink"/>
          </w:rPr>
          <w:t>Policy statement - Dec 2022 (ppf.co.uk)</w:t>
        </w:r>
      </w:hyperlink>
    </w:p>
  </w:footnote>
  <w:footnote w:id="8">
    <w:p w14:paraId="23F03147" w14:textId="6C37B99E" w:rsidR="00413D37" w:rsidRDefault="00413D37">
      <w:pPr>
        <w:pStyle w:val="FootnoteText"/>
      </w:pPr>
      <w:r>
        <w:rPr>
          <w:rStyle w:val="FootnoteReference"/>
        </w:rPr>
        <w:footnoteRef/>
      </w:r>
      <w:r>
        <w:t xml:space="preserve"> </w:t>
      </w:r>
      <w:hyperlink r:id="rId8" w:history="1">
        <w:r>
          <w:rPr>
            <w:rStyle w:val="Hyperlink"/>
          </w:rPr>
          <w:t>Departmental Review of the Pension Protection Fund (PPF) - GOV.UK (www.gov.uk)</w:t>
        </w:r>
      </w:hyperlink>
    </w:p>
  </w:footnote>
  <w:footnote w:id="9">
    <w:p w14:paraId="67B9904E" w14:textId="5D2BE9E4" w:rsidR="001F62DC" w:rsidRDefault="001F62DC">
      <w:pPr>
        <w:pStyle w:val="FootnoteText"/>
      </w:pPr>
      <w:r>
        <w:rPr>
          <w:rStyle w:val="FootnoteReference"/>
        </w:rPr>
        <w:footnoteRef/>
      </w:r>
      <w:r>
        <w:t xml:space="preserve"> </w:t>
      </w:r>
      <w:hyperlink r:id="rId9" w:anchor="contribution-9f579ba3-37f5-4b91-b4a7-febf6d217f3d" w:history="1">
        <w:r>
          <w:rPr>
            <w:rStyle w:val="Hyperlink"/>
          </w:rPr>
          <w:t>Official Report Of The Grand Committee On The Pensions - Hansard - UK Parliament</w:t>
        </w:r>
      </w:hyperlink>
    </w:p>
  </w:footnote>
  <w:footnote w:id="10">
    <w:p w14:paraId="2C29AE2D" w14:textId="1E8E56B3" w:rsidR="00354C97" w:rsidRDefault="00354C97">
      <w:pPr>
        <w:pStyle w:val="FootnoteText"/>
      </w:pPr>
      <w:r>
        <w:rPr>
          <w:rStyle w:val="FootnoteReference"/>
        </w:rPr>
        <w:footnoteRef/>
      </w:r>
      <w:r>
        <w:t xml:space="preserve"> </w:t>
      </w:r>
      <w:hyperlink r:id="rId10" w:history="1">
        <w:r>
          <w:rPr>
            <w:rStyle w:val="Hyperlink"/>
            <w:rFonts w:ascii="Open Sans" w:hAnsi="Open Sans" w:cs="Open Sans"/>
            <w:color w:val="008275"/>
            <w:sz w:val="21"/>
            <w:szCs w:val="21"/>
            <w:shd w:val="clear" w:color="auto" w:fill="FFFFFF"/>
          </w:rPr>
          <w:t>https://library.prospect.org.uk/download/2023/00469</w:t>
        </w:r>
      </w:hyperlink>
    </w:p>
  </w:footnote>
  <w:footnote w:id="11">
    <w:p w14:paraId="578B5D48" w14:textId="00C5BC5B" w:rsidR="000F59B2" w:rsidRDefault="000F59B2">
      <w:pPr>
        <w:pStyle w:val="FootnoteText"/>
      </w:pPr>
      <w:r>
        <w:rPr>
          <w:rStyle w:val="FootnoteReference"/>
        </w:rPr>
        <w:footnoteRef/>
      </w:r>
      <w:r>
        <w:t xml:space="preserve"> </w:t>
      </w:r>
      <w:hyperlink r:id="rId11" w:history="1">
        <w:r>
          <w:rPr>
            <w:rStyle w:val="Hyperlink"/>
            <w:rFonts w:ascii="Open Sans" w:hAnsi="Open Sans" w:cs="Open Sans"/>
            <w:color w:val="187173"/>
            <w:sz w:val="21"/>
            <w:szCs w:val="21"/>
            <w:shd w:val="clear" w:color="auto" w:fill="FFFFFF"/>
          </w:rPr>
          <w:t>https://library.prospect.org.uk/download/2022/00896</w:t>
        </w:r>
      </w:hyperlink>
    </w:p>
  </w:footnote>
  <w:footnote w:id="12">
    <w:p w14:paraId="3513DDD1" w14:textId="43FBF67B" w:rsidR="000F59B2" w:rsidRDefault="000F59B2">
      <w:pPr>
        <w:pStyle w:val="FootnoteText"/>
      </w:pPr>
      <w:r>
        <w:rPr>
          <w:rStyle w:val="FootnoteReference"/>
        </w:rPr>
        <w:footnoteRef/>
      </w:r>
      <w:r>
        <w:t xml:space="preserve"> </w:t>
      </w:r>
      <w:hyperlink r:id="rId12" w:history="1">
        <w:r>
          <w:rPr>
            <w:rStyle w:val="Hyperlink"/>
            <w:rFonts w:ascii="Open Sans" w:hAnsi="Open Sans" w:cs="Open Sans"/>
            <w:color w:val="187173"/>
            <w:sz w:val="21"/>
            <w:szCs w:val="21"/>
            <w:shd w:val="clear" w:color="auto" w:fill="FFFFFF"/>
          </w:rPr>
          <w:t>https://library.prospect.org.uk/download/2022/00897</w:t>
        </w:r>
      </w:hyperlink>
    </w:p>
  </w:footnote>
  <w:footnote w:id="13">
    <w:p w14:paraId="2321A4B2" w14:textId="5B33F395" w:rsidR="00D23B79" w:rsidRDefault="00D23B79">
      <w:pPr>
        <w:pStyle w:val="FootnoteText"/>
      </w:pPr>
      <w:r>
        <w:rPr>
          <w:rStyle w:val="FootnoteReference"/>
        </w:rPr>
        <w:footnoteRef/>
      </w:r>
      <w:r>
        <w:t xml:space="preserve"> </w:t>
      </w:r>
      <w:hyperlink r:id="rId13" w:history="1">
        <w:r>
          <w:rPr>
            <w:rStyle w:val="Hyperlink"/>
          </w:rPr>
          <w:t>Occupational pension increases - House of Commons Library (parliament.uk)</w:t>
        </w:r>
      </w:hyperlink>
    </w:p>
  </w:footnote>
  <w:footnote w:id="14">
    <w:p w14:paraId="0E751AF7" w14:textId="5BE1CFFC" w:rsidR="00193617" w:rsidRDefault="00193617">
      <w:pPr>
        <w:pStyle w:val="FootnoteText"/>
      </w:pPr>
      <w:r>
        <w:rPr>
          <w:rStyle w:val="FootnoteReference"/>
        </w:rPr>
        <w:footnoteRef/>
      </w:r>
      <w:r>
        <w:t xml:space="preserve"> </w:t>
      </w:r>
      <w:hyperlink r:id="rId14" w:history="1">
        <w:r>
          <w:rPr>
            <w:rStyle w:val="Hyperlink"/>
          </w:rPr>
          <w:t>Retained EU Law (Revocation and Reform) Bill (Fourth s - Hansard - UK Parliament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7E3D" w14:textId="4904BE3A" w:rsidR="00E8564A" w:rsidRDefault="00E85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BCB4" w14:textId="03FC287F" w:rsidR="00064CC8" w:rsidRDefault="00121A51">
    <w:pPr>
      <w:pStyle w:val="Header"/>
    </w:pPr>
    <w:r>
      <w:rPr>
        <w:noProof/>
      </w:rPr>
      <w:drawing>
        <wp:anchor distT="0" distB="0" distL="114300" distR="114300" simplePos="0" relativeHeight="251657216" behindDoc="0" locked="0" layoutInCell="1" allowOverlap="1" wp14:anchorId="1717A553" wp14:editId="5D9FDC8C">
          <wp:simplePos x="0" y="0"/>
          <wp:positionH relativeFrom="page">
            <wp:align>center</wp:align>
          </wp:positionH>
          <wp:positionV relativeFrom="page">
            <wp:posOffset>453390</wp:posOffset>
          </wp:positionV>
          <wp:extent cx="2001520" cy="1004570"/>
          <wp:effectExtent l="0" t="0" r="0" b="5080"/>
          <wp:wrapTight wrapText="bothSides">
            <wp:wrapPolygon edited="0">
              <wp:start x="10690" y="0"/>
              <wp:lineTo x="5140" y="4506"/>
              <wp:lineTo x="4317" y="5735"/>
              <wp:lineTo x="0" y="13107"/>
              <wp:lineTo x="0" y="21300"/>
              <wp:lineTo x="11102" y="21300"/>
              <wp:lineTo x="21381" y="19252"/>
              <wp:lineTo x="21381" y="13927"/>
              <wp:lineTo x="20558" y="6963"/>
              <wp:lineTo x="21381" y="1229"/>
              <wp:lineTo x="20558" y="819"/>
              <wp:lineTo x="12129" y="0"/>
              <wp:lineTo x="1069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045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0357" w14:textId="6665FEE6" w:rsidR="00064CC8" w:rsidRDefault="000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3B404265"/>
    <w:multiLevelType w:val="hybridMultilevel"/>
    <w:tmpl w:val="2D382CA8"/>
    <w:lvl w:ilvl="0" w:tplc="AD3C5340">
      <w:start w:val="27"/>
      <w:numFmt w:val="bullet"/>
      <w:lvlText w:val="-"/>
      <w:lvlJc w:val="left"/>
      <w:pPr>
        <w:ind w:left="1440" w:hanging="360"/>
      </w:pPr>
      <w:rPr>
        <w:rFonts w:ascii="Arial" w:eastAsia="Times"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AC62C9F"/>
    <w:multiLevelType w:val="hybridMultilevel"/>
    <w:tmpl w:val="256060FE"/>
    <w:lvl w:ilvl="0" w:tplc="32821D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576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129506">
    <w:abstractNumId w:val="4"/>
  </w:num>
  <w:num w:numId="3" w16cid:durableId="1621106048">
    <w:abstractNumId w:val="2"/>
  </w:num>
  <w:num w:numId="4" w16cid:durableId="1799757767">
    <w:abstractNumId w:val="6"/>
  </w:num>
  <w:num w:numId="5" w16cid:durableId="1087924298">
    <w:abstractNumId w:val="4"/>
  </w:num>
  <w:num w:numId="6" w16cid:durableId="1285381236">
    <w:abstractNumId w:val="8"/>
  </w:num>
  <w:num w:numId="7" w16cid:durableId="1705981706">
    <w:abstractNumId w:val="5"/>
  </w:num>
  <w:num w:numId="8" w16cid:durableId="1477381252">
    <w:abstractNumId w:val="0"/>
  </w:num>
  <w:num w:numId="9" w16cid:durableId="255016700">
    <w:abstractNumId w:val="2"/>
  </w:num>
  <w:num w:numId="10" w16cid:durableId="1042557454">
    <w:abstractNumId w:val="7"/>
  </w:num>
  <w:num w:numId="11" w16cid:durableId="2598358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AD"/>
    <w:rsid w:val="00016120"/>
    <w:rsid w:val="00016AD1"/>
    <w:rsid w:val="00025ECB"/>
    <w:rsid w:val="00032DF0"/>
    <w:rsid w:val="000337AB"/>
    <w:rsid w:val="00037B0F"/>
    <w:rsid w:val="00040EBE"/>
    <w:rsid w:val="00057643"/>
    <w:rsid w:val="0006148B"/>
    <w:rsid w:val="0006240C"/>
    <w:rsid w:val="00064583"/>
    <w:rsid w:val="00064CC8"/>
    <w:rsid w:val="00065290"/>
    <w:rsid w:val="00067193"/>
    <w:rsid w:val="000711C4"/>
    <w:rsid w:val="00087CEE"/>
    <w:rsid w:val="000A2A14"/>
    <w:rsid w:val="000B6394"/>
    <w:rsid w:val="000C7EF8"/>
    <w:rsid w:val="000D03FB"/>
    <w:rsid w:val="000D05BA"/>
    <w:rsid w:val="000E0457"/>
    <w:rsid w:val="000E158C"/>
    <w:rsid w:val="000F59B2"/>
    <w:rsid w:val="000F61BB"/>
    <w:rsid w:val="0010749B"/>
    <w:rsid w:val="00107D07"/>
    <w:rsid w:val="00111690"/>
    <w:rsid w:val="00111EBB"/>
    <w:rsid w:val="00121503"/>
    <w:rsid w:val="00121A51"/>
    <w:rsid w:val="001221D7"/>
    <w:rsid w:val="00126F28"/>
    <w:rsid w:val="001271E1"/>
    <w:rsid w:val="00131CC4"/>
    <w:rsid w:val="00141812"/>
    <w:rsid w:val="001465A5"/>
    <w:rsid w:val="001520AF"/>
    <w:rsid w:val="001664C4"/>
    <w:rsid w:val="00167C0A"/>
    <w:rsid w:val="001707B6"/>
    <w:rsid w:val="00183D96"/>
    <w:rsid w:val="00184627"/>
    <w:rsid w:val="00184B01"/>
    <w:rsid w:val="001918F6"/>
    <w:rsid w:val="00193617"/>
    <w:rsid w:val="001937CC"/>
    <w:rsid w:val="001B06A8"/>
    <w:rsid w:val="001B3FFF"/>
    <w:rsid w:val="001B617C"/>
    <w:rsid w:val="001C6534"/>
    <w:rsid w:val="001D55B4"/>
    <w:rsid w:val="001E34BE"/>
    <w:rsid w:val="001F62DC"/>
    <w:rsid w:val="00201B7B"/>
    <w:rsid w:val="00204214"/>
    <w:rsid w:val="00210ACB"/>
    <w:rsid w:val="00212E48"/>
    <w:rsid w:val="00221B56"/>
    <w:rsid w:val="00227700"/>
    <w:rsid w:val="0023090D"/>
    <w:rsid w:val="00244EF3"/>
    <w:rsid w:val="002468DF"/>
    <w:rsid w:val="00251773"/>
    <w:rsid w:val="00256421"/>
    <w:rsid w:val="002753A5"/>
    <w:rsid w:val="002817AE"/>
    <w:rsid w:val="00284C89"/>
    <w:rsid w:val="00284CF3"/>
    <w:rsid w:val="0029127B"/>
    <w:rsid w:val="002A0673"/>
    <w:rsid w:val="002A277F"/>
    <w:rsid w:val="002A6A9D"/>
    <w:rsid w:val="002A7FFC"/>
    <w:rsid w:val="002B48FC"/>
    <w:rsid w:val="002E2A35"/>
    <w:rsid w:val="002F39B4"/>
    <w:rsid w:val="00301C15"/>
    <w:rsid w:val="00307910"/>
    <w:rsid w:val="00311400"/>
    <w:rsid w:val="00313F41"/>
    <w:rsid w:val="00323F44"/>
    <w:rsid w:val="00326857"/>
    <w:rsid w:val="003425DB"/>
    <w:rsid w:val="00354C97"/>
    <w:rsid w:val="00357B40"/>
    <w:rsid w:val="003610A9"/>
    <w:rsid w:val="003651DC"/>
    <w:rsid w:val="0038573A"/>
    <w:rsid w:val="003B08BB"/>
    <w:rsid w:val="003B2FE9"/>
    <w:rsid w:val="003C3164"/>
    <w:rsid w:val="003E45A5"/>
    <w:rsid w:val="003F20CC"/>
    <w:rsid w:val="003F68B9"/>
    <w:rsid w:val="0040705C"/>
    <w:rsid w:val="00411A15"/>
    <w:rsid w:val="00413D37"/>
    <w:rsid w:val="004158AA"/>
    <w:rsid w:val="0042567B"/>
    <w:rsid w:val="00427AEC"/>
    <w:rsid w:val="00431E2A"/>
    <w:rsid w:val="00434C6B"/>
    <w:rsid w:val="004427FC"/>
    <w:rsid w:val="00445711"/>
    <w:rsid w:val="00445983"/>
    <w:rsid w:val="00461C6A"/>
    <w:rsid w:val="004622CA"/>
    <w:rsid w:val="00465661"/>
    <w:rsid w:val="00465A21"/>
    <w:rsid w:val="0047381D"/>
    <w:rsid w:val="00476A15"/>
    <w:rsid w:val="004914AD"/>
    <w:rsid w:val="004915D6"/>
    <w:rsid w:val="004D1968"/>
    <w:rsid w:val="004D2A2A"/>
    <w:rsid w:val="0051568B"/>
    <w:rsid w:val="005225D5"/>
    <w:rsid w:val="00562AB3"/>
    <w:rsid w:val="0058028C"/>
    <w:rsid w:val="005803A7"/>
    <w:rsid w:val="00584AC9"/>
    <w:rsid w:val="00590057"/>
    <w:rsid w:val="00591757"/>
    <w:rsid w:val="00594434"/>
    <w:rsid w:val="005A0AA1"/>
    <w:rsid w:val="005A7A9E"/>
    <w:rsid w:val="005B0D01"/>
    <w:rsid w:val="005C6B51"/>
    <w:rsid w:val="005D19E1"/>
    <w:rsid w:val="005E0911"/>
    <w:rsid w:val="005E69EF"/>
    <w:rsid w:val="005E6CC6"/>
    <w:rsid w:val="006033C2"/>
    <w:rsid w:val="006060A7"/>
    <w:rsid w:val="0062484C"/>
    <w:rsid w:val="006404CE"/>
    <w:rsid w:val="00643A7A"/>
    <w:rsid w:val="006557C4"/>
    <w:rsid w:val="00661741"/>
    <w:rsid w:val="00667E2B"/>
    <w:rsid w:val="00690ECB"/>
    <w:rsid w:val="006A2192"/>
    <w:rsid w:val="006A65F2"/>
    <w:rsid w:val="006B7F17"/>
    <w:rsid w:val="006C05FD"/>
    <w:rsid w:val="006C4896"/>
    <w:rsid w:val="006C7C77"/>
    <w:rsid w:val="006D3043"/>
    <w:rsid w:val="006E036B"/>
    <w:rsid w:val="00703D8E"/>
    <w:rsid w:val="00712EA7"/>
    <w:rsid w:val="00724607"/>
    <w:rsid w:val="007328F4"/>
    <w:rsid w:val="007434F8"/>
    <w:rsid w:val="00744C0B"/>
    <w:rsid w:val="00750F0E"/>
    <w:rsid w:val="00752F15"/>
    <w:rsid w:val="00753CDA"/>
    <w:rsid w:val="00762088"/>
    <w:rsid w:val="00771506"/>
    <w:rsid w:val="00772D9D"/>
    <w:rsid w:val="00774600"/>
    <w:rsid w:val="0077520C"/>
    <w:rsid w:val="00780E99"/>
    <w:rsid w:val="00781993"/>
    <w:rsid w:val="007B2FE9"/>
    <w:rsid w:val="007C0601"/>
    <w:rsid w:val="007C568C"/>
    <w:rsid w:val="007D5AE7"/>
    <w:rsid w:val="007F1D38"/>
    <w:rsid w:val="0081497E"/>
    <w:rsid w:val="00814FB7"/>
    <w:rsid w:val="00825CC4"/>
    <w:rsid w:val="008456D0"/>
    <w:rsid w:val="00850FA6"/>
    <w:rsid w:val="00864A01"/>
    <w:rsid w:val="00867417"/>
    <w:rsid w:val="00883AA0"/>
    <w:rsid w:val="008A06A9"/>
    <w:rsid w:val="008B0412"/>
    <w:rsid w:val="008B50D5"/>
    <w:rsid w:val="008B5403"/>
    <w:rsid w:val="008F662D"/>
    <w:rsid w:val="00921052"/>
    <w:rsid w:val="009233FF"/>
    <w:rsid w:val="009250D1"/>
    <w:rsid w:val="00945673"/>
    <w:rsid w:val="0095745F"/>
    <w:rsid w:val="009608ED"/>
    <w:rsid w:val="009637B8"/>
    <w:rsid w:val="00974FEA"/>
    <w:rsid w:val="00985270"/>
    <w:rsid w:val="00987CA0"/>
    <w:rsid w:val="009965AB"/>
    <w:rsid w:val="009A373B"/>
    <w:rsid w:val="009A5925"/>
    <w:rsid w:val="009A6B22"/>
    <w:rsid w:val="009B6E93"/>
    <w:rsid w:val="009D0598"/>
    <w:rsid w:val="009D4D07"/>
    <w:rsid w:val="009D5A60"/>
    <w:rsid w:val="009D6386"/>
    <w:rsid w:val="009E36C3"/>
    <w:rsid w:val="00A010B2"/>
    <w:rsid w:val="00A03992"/>
    <w:rsid w:val="00A04F65"/>
    <w:rsid w:val="00A14BDE"/>
    <w:rsid w:val="00A15CB3"/>
    <w:rsid w:val="00A16D0B"/>
    <w:rsid w:val="00A4286F"/>
    <w:rsid w:val="00A42E00"/>
    <w:rsid w:val="00A44809"/>
    <w:rsid w:val="00A541BF"/>
    <w:rsid w:val="00A66878"/>
    <w:rsid w:val="00A91EB2"/>
    <w:rsid w:val="00A95F21"/>
    <w:rsid w:val="00AB0A3B"/>
    <w:rsid w:val="00AB23AC"/>
    <w:rsid w:val="00AB6F73"/>
    <w:rsid w:val="00AC2BD0"/>
    <w:rsid w:val="00AC733F"/>
    <w:rsid w:val="00AD0986"/>
    <w:rsid w:val="00AD09CB"/>
    <w:rsid w:val="00AD218B"/>
    <w:rsid w:val="00AE3920"/>
    <w:rsid w:val="00AF5642"/>
    <w:rsid w:val="00AF7980"/>
    <w:rsid w:val="00B22AB5"/>
    <w:rsid w:val="00B24081"/>
    <w:rsid w:val="00B24246"/>
    <w:rsid w:val="00B5466C"/>
    <w:rsid w:val="00B7072B"/>
    <w:rsid w:val="00B72873"/>
    <w:rsid w:val="00B773AB"/>
    <w:rsid w:val="00B828F4"/>
    <w:rsid w:val="00B84A97"/>
    <w:rsid w:val="00B8623F"/>
    <w:rsid w:val="00B87B01"/>
    <w:rsid w:val="00B90556"/>
    <w:rsid w:val="00BA79E2"/>
    <w:rsid w:val="00BB75A8"/>
    <w:rsid w:val="00BC490A"/>
    <w:rsid w:val="00BE0F09"/>
    <w:rsid w:val="00BE6669"/>
    <w:rsid w:val="00BF6A25"/>
    <w:rsid w:val="00C060F6"/>
    <w:rsid w:val="00C067DD"/>
    <w:rsid w:val="00C20002"/>
    <w:rsid w:val="00C21D5B"/>
    <w:rsid w:val="00C3451F"/>
    <w:rsid w:val="00C34EB8"/>
    <w:rsid w:val="00C545C7"/>
    <w:rsid w:val="00C77C64"/>
    <w:rsid w:val="00C84201"/>
    <w:rsid w:val="00C94601"/>
    <w:rsid w:val="00C94DA1"/>
    <w:rsid w:val="00C96F7B"/>
    <w:rsid w:val="00CB543F"/>
    <w:rsid w:val="00CC2DD8"/>
    <w:rsid w:val="00CC5587"/>
    <w:rsid w:val="00CC5B95"/>
    <w:rsid w:val="00CD1DF7"/>
    <w:rsid w:val="00CD4661"/>
    <w:rsid w:val="00CF303D"/>
    <w:rsid w:val="00CF5150"/>
    <w:rsid w:val="00D005C8"/>
    <w:rsid w:val="00D0758F"/>
    <w:rsid w:val="00D22AB5"/>
    <w:rsid w:val="00D23B79"/>
    <w:rsid w:val="00D25E0B"/>
    <w:rsid w:val="00D37D4F"/>
    <w:rsid w:val="00D37FEC"/>
    <w:rsid w:val="00D47415"/>
    <w:rsid w:val="00D601F7"/>
    <w:rsid w:val="00D67E57"/>
    <w:rsid w:val="00D75F19"/>
    <w:rsid w:val="00D808BE"/>
    <w:rsid w:val="00D90519"/>
    <w:rsid w:val="00D923EB"/>
    <w:rsid w:val="00D935C5"/>
    <w:rsid w:val="00D97B97"/>
    <w:rsid w:val="00DA2533"/>
    <w:rsid w:val="00DA60C0"/>
    <w:rsid w:val="00DC626A"/>
    <w:rsid w:val="00DC7A60"/>
    <w:rsid w:val="00DE23D0"/>
    <w:rsid w:val="00DE536F"/>
    <w:rsid w:val="00DF364B"/>
    <w:rsid w:val="00E06306"/>
    <w:rsid w:val="00E221BC"/>
    <w:rsid w:val="00E34C55"/>
    <w:rsid w:val="00E45D5F"/>
    <w:rsid w:val="00E515D7"/>
    <w:rsid w:val="00E567AE"/>
    <w:rsid w:val="00E667A2"/>
    <w:rsid w:val="00E7294B"/>
    <w:rsid w:val="00E73413"/>
    <w:rsid w:val="00E74C04"/>
    <w:rsid w:val="00E75683"/>
    <w:rsid w:val="00E8361E"/>
    <w:rsid w:val="00E8564A"/>
    <w:rsid w:val="00EA037F"/>
    <w:rsid w:val="00EA5440"/>
    <w:rsid w:val="00EA5F22"/>
    <w:rsid w:val="00EA7D17"/>
    <w:rsid w:val="00EB31F1"/>
    <w:rsid w:val="00EC3171"/>
    <w:rsid w:val="00EC73EB"/>
    <w:rsid w:val="00ED2283"/>
    <w:rsid w:val="00ED5828"/>
    <w:rsid w:val="00EE3388"/>
    <w:rsid w:val="00EE572E"/>
    <w:rsid w:val="00EF0B9E"/>
    <w:rsid w:val="00F0063B"/>
    <w:rsid w:val="00F02072"/>
    <w:rsid w:val="00F02B57"/>
    <w:rsid w:val="00F04FC4"/>
    <w:rsid w:val="00F0656A"/>
    <w:rsid w:val="00F11A01"/>
    <w:rsid w:val="00F266D4"/>
    <w:rsid w:val="00F34F12"/>
    <w:rsid w:val="00F37C90"/>
    <w:rsid w:val="00F40DA3"/>
    <w:rsid w:val="00F41801"/>
    <w:rsid w:val="00F423F2"/>
    <w:rsid w:val="00F42A03"/>
    <w:rsid w:val="00F51CC5"/>
    <w:rsid w:val="00F5724F"/>
    <w:rsid w:val="00F700B3"/>
    <w:rsid w:val="00F715BC"/>
    <w:rsid w:val="00F83201"/>
    <w:rsid w:val="00FB0DAC"/>
    <w:rsid w:val="00FB475F"/>
    <w:rsid w:val="00FD500D"/>
    <w:rsid w:val="00FE2582"/>
    <w:rsid w:val="00FE40DA"/>
    <w:rsid w:val="00FE75EB"/>
    <w:rsid w:val="00FF4376"/>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6C1AC3"/>
  <w15:docId w15:val="{43E3DF47-C1C6-4AAF-AD7D-E530EE98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51"/>
    <w:pPr>
      <w:spacing w:before="180"/>
    </w:pPr>
    <w:rPr>
      <w:rFonts w:ascii="Arial" w:hAnsi="Arial" w:cs="Arial"/>
      <w:sz w:val="21"/>
      <w:szCs w:val="21"/>
    </w:rPr>
  </w:style>
  <w:style w:type="paragraph" w:styleId="Heading1">
    <w:name w:val="heading 1"/>
    <w:next w:val="Normal"/>
    <w:link w:val="Heading1Char"/>
    <w:rsid w:val="005C6B51"/>
    <w:pPr>
      <w:keepNext/>
      <w:numPr>
        <w:numId w:val="5"/>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5C6B51"/>
    <w:pPr>
      <w:numPr>
        <w:numId w:val="0"/>
      </w:numPr>
      <w:spacing w:after="120"/>
      <w:outlineLvl w:val="1"/>
    </w:pPr>
    <w:rPr>
      <w:sz w:val="32"/>
    </w:rPr>
  </w:style>
  <w:style w:type="paragraph" w:styleId="Heading3">
    <w:name w:val="heading 3"/>
    <w:basedOn w:val="Heading2"/>
    <w:next w:val="Normal"/>
    <w:link w:val="Heading3Char"/>
    <w:qFormat/>
    <w:rsid w:val="005C6B51"/>
    <w:pPr>
      <w:tabs>
        <w:tab w:val="left" w:pos="567"/>
      </w:tabs>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rsid w:val="005C6B51"/>
    <w:rPr>
      <w:rFonts w:ascii="Arial" w:hAnsi="Arial" w:cs="Arial"/>
      <w:sz w:val="14"/>
      <w:szCs w:val="21"/>
    </w:rPr>
  </w:style>
  <w:style w:type="character" w:customStyle="1" w:styleId="Heading1Char">
    <w:name w:val="Heading 1 Char"/>
    <w:link w:val="Heading1"/>
    <w:rsid w:val="005C6B51"/>
    <w:rPr>
      <w:rFonts w:ascii="Arial" w:hAnsi="Arial" w:cs="Arial"/>
      <w:b/>
      <w:kern w:val="32"/>
      <w:sz w:val="36"/>
      <w:szCs w:val="22"/>
      <w:lang w:eastAsia="en-US"/>
    </w:rPr>
  </w:style>
  <w:style w:type="paragraph" w:styleId="Footer">
    <w:name w:val="footer"/>
    <w:basedOn w:val="Normal"/>
    <w:next w:val="Normal"/>
    <w:link w:val="FooterChar"/>
    <w:rsid w:val="005C6B51"/>
    <w:rPr>
      <w:sz w:val="14"/>
    </w:rPr>
  </w:style>
  <w:style w:type="character" w:customStyle="1" w:styleId="Heading2Char">
    <w:name w:val="Heading 2 Char"/>
    <w:link w:val="Heading2"/>
    <w:rsid w:val="005C6B51"/>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rsid w:val="005C6B51"/>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semiHidden/>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5C6B51"/>
    <w:rPr>
      <w:color w:val="0000FF"/>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BalloonText">
    <w:name w:val="Balloon Text"/>
    <w:basedOn w:val="Normal"/>
    <w:link w:val="BalloonTextChar"/>
    <w:uiPriority w:val="99"/>
    <w:semiHidden/>
    <w:unhideWhenUsed/>
    <w:rsid w:val="009E36C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C3"/>
    <w:rPr>
      <w:rFonts w:ascii="Segoe UI" w:hAnsi="Segoe UI" w:cs="Segoe UI"/>
      <w:sz w:val="18"/>
      <w:szCs w:val="18"/>
    </w:rPr>
  </w:style>
  <w:style w:type="table" w:styleId="TableGrid">
    <w:name w:val="Table Grid"/>
    <w:basedOn w:val="TableNormal"/>
    <w:uiPriority w:val="59"/>
    <w:rsid w:val="0071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403"/>
    <w:pPr>
      <w:spacing w:before="0"/>
    </w:pPr>
    <w:rPr>
      <w:sz w:val="20"/>
      <w:szCs w:val="20"/>
    </w:rPr>
  </w:style>
  <w:style w:type="character" w:customStyle="1" w:styleId="FootnoteTextChar">
    <w:name w:val="Footnote Text Char"/>
    <w:basedOn w:val="DefaultParagraphFont"/>
    <w:link w:val="FootnoteText"/>
    <w:uiPriority w:val="99"/>
    <w:semiHidden/>
    <w:rsid w:val="008B5403"/>
    <w:rPr>
      <w:rFonts w:ascii="Arial" w:hAnsi="Arial" w:cs="Arial"/>
    </w:rPr>
  </w:style>
  <w:style w:type="character" w:styleId="FootnoteReference">
    <w:name w:val="footnote reference"/>
    <w:basedOn w:val="DefaultParagraphFont"/>
    <w:uiPriority w:val="99"/>
    <w:semiHidden/>
    <w:unhideWhenUsed/>
    <w:rsid w:val="008B5403"/>
    <w:rPr>
      <w:vertAlign w:val="superscript"/>
    </w:rPr>
  </w:style>
  <w:style w:type="character" w:styleId="UnresolvedMention">
    <w:name w:val="Unresolved Mention"/>
    <w:basedOn w:val="DefaultParagraphFont"/>
    <w:uiPriority w:val="99"/>
    <w:semiHidden/>
    <w:unhideWhenUsed/>
    <w:rsid w:val="00EA7D17"/>
    <w:rPr>
      <w:color w:val="605E5C"/>
      <w:shd w:val="clear" w:color="auto" w:fill="E1DFDD"/>
    </w:rPr>
  </w:style>
  <w:style w:type="paragraph" w:styleId="NormalWeb">
    <w:name w:val="Normal (Web)"/>
    <w:basedOn w:val="Normal"/>
    <w:uiPriority w:val="99"/>
    <w:semiHidden/>
    <w:unhideWhenUsed/>
    <w:rsid w:val="00413D3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22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407">
      <w:bodyDiv w:val="1"/>
      <w:marLeft w:val="0"/>
      <w:marRight w:val="0"/>
      <w:marTop w:val="0"/>
      <w:marBottom w:val="0"/>
      <w:divBdr>
        <w:top w:val="none" w:sz="0" w:space="0" w:color="auto"/>
        <w:left w:val="none" w:sz="0" w:space="0" w:color="auto"/>
        <w:bottom w:val="none" w:sz="0" w:space="0" w:color="auto"/>
        <w:right w:val="none" w:sz="0" w:space="0" w:color="auto"/>
      </w:divBdr>
    </w:div>
    <w:div w:id="472872183">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891576678">
      <w:bodyDiv w:val="1"/>
      <w:marLeft w:val="0"/>
      <w:marRight w:val="0"/>
      <w:marTop w:val="0"/>
      <w:marBottom w:val="0"/>
      <w:divBdr>
        <w:top w:val="none" w:sz="0" w:space="0" w:color="auto"/>
        <w:left w:val="none" w:sz="0" w:space="0" w:color="auto"/>
        <w:bottom w:val="none" w:sz="0" w:space="0" w:color="auto"/>
        <w:right w:val="none" w:sz="0" w:space="0" w:color="auto"/>
      </w:divBdr>
    </w:div>
    <w:div w:id="14467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departmental-review-of-the-pension-protection-fund-ppf" TargetMode="External"/><Relationship Id="rId13" Type="http://schemas.openxmlformats.org/officeDocument/2006/relationships/hyperlink" Target="https://commonslibrary.parliament.uk/research-briefings/sn05656/" TargetMode="External"/><Relationship Id="rId3" Type="http://schemas.openxmlformats.org/officeDocument/2006/relationships/hyperlink" Target="https://eur-lex.europa.eu/legal-content/EN/TXT/?uri=CELEX%3A62018CJ0168&amp;qid=1681754287902" TargetMode="External"/><Relationship Id="rId7" Type="http://schemas.openxmlformats.org/officeDocument/2006/relationships/hyperlink" Target="https://www.ppf.co.uk/sites/default/files/2022-12/Policy_Statement_Dec_2022.pdf" TargetMode="External"/><Relationship Id="rId12" Type="http://schemas.openxmlformats.org/officeDocument/2006/relationships/hyperlink" Target="https://library.prospect.org.uk/download/2022/00897" TargetMode="External"/><Relationship Id="rId2" Type="http://schemas.openxmlformats.org/officeDocument/2006/relationships/hyperlink" Target="https://eur-lex.europa.eu/legal-content/en/TXT/?uri=CELEX:62017CJ0017" TargetMode="External"/><Relationship Id="rId1" Type="http://schemas.openxmlformats.org/officeDocument/2006/relationships/hyperlink" Target="https://caselaw.nationalarchives.gov.uk/ewca/civ/2016/786" TargetMode="External"/><Relationship Id="rId6" Type="http://schemas.openxmlformats.org/officeDocument/2006/relationships/hyperlink" Target="https://www.ppf.co.uk/sites/default/files/2022-09/Funding_Strategy_Review_2022.pdf" TargetMode="External"/><Relationship Id="rId11" Type="http://schemas.openxmlformats.org/officeDocument/2006/relationships/hyperlink" Target="https://library.prospect.org.uk/download/2022/00896" TargetMode="External"/><Relationship Id="rId5" Type="http://schemas.openxmlformats.org/officeDocument/2006/relationships/hyperlink" Target="https://www.ppf.co.uk/sites/default/files/2023-03/PPF_7800_Data_March_2023_0.pdf" TargetMode="External"/><Relationship Id="rId10" Type="http://schemas.openxmlformats.org/officeDocument/2006/relationships/hyperlink" Target="https://library.prospect.org.uk/download/2023/00469" TargetMode="External"/><Relationship Id="rId4" Type="http://schemas.openxmlformats.org/officeDocument/2006/relationships/hyperlink" Target="https://www.ppf.co.uk/annual-report" TargetMode="External"/><Relationship Id="rId9" Type="http://schemas.openxmlformats.org/officeDocument/2006/relationships/hyperlink" Target="https://hansard.parliament.uk/Lords/2004-09-09/debates/f41794cd-95c7-46e9-8e2f-bf2906dd0049/OfficialReportOfTheGrandCommitteeOnThePensionsBill?highlight=september%202004" TargetMode="External"/><Relationship Id="rId14" Type="http://schemas.openxmlformats.org/officeDocument/2006/relationships/hyperlink" Target="https://hansard.parliament.uk/Commons/2022-11-22/debates/7a464aea-9645-4d84-b845-8e4e572181b0/RetainedEULaw(RevocationAndReform)Bill(FourthSit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submission.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C1DF-73F3-4E19-A1FA-BF3D6327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
  <TotalTime>1827</TotalTime>
  <Pages>9</Pages>
  <Words>2908</Words>
  <Characters>14813</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Stewart Mott</dc:creator>
  <cp:lastModifiedBy>Neil Walsh</cp:lastModifiedBy>
  <cp:revision>22</cp:revision>
  <cp:lastPrinted>2023-04-19T11:48:00Z</cp:lastPrinted>
  <dcterms:created xsi:type="dcterms:W3CDTF">2023-04-14T13:35:00Z</dcterms:created>
  <dcterms:modified xsi:type="dcterms:W3CDTF">2023-04-19T11:57:00Z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-1499339277</vt:i4>
  </property>
  <property fmtid="{D5CDD505-2E9C-101B-9397-08002B2CF9AE}" pid="3" name="_NewReviewCycle">
    <vt:lpwstr/>
  </property>
  <property fmtid="{D5CDD505-2E9C-101B-9397-08002B2CF9AE}" pid="4" name="_EmailSubject">
    <vt:lpwstr>RE: Draft McCloud submission</vt:lpwstr>
  </property>
  <property fmtid="{D5CDD505-2E9C-101B-9397-08002B2CF9AE}" pid="5" name="_AuthorEmail">
    <vt:lpwstr>Stewart.Mott@prospect.org.uk</vt:lpwstr>
  </property>
  <property fmtid="{D5CDD505-2E9C-101B-9397-08002B2CF9AE}" pid="6" name="_AuthorEmailDisplayName">
    <vt:lpwstr>Stewart Mott</vt:lpwstr>
  </property>
  <property fmtid="{D5CDD505-2E9C-101B-9397-08002B2CF9AE}" pid="7" name="_ReviewingToolsShownOnce">
    <vt:lpwstr/>
  </property>
</Properties>
</file>