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A543" w14:textId="2C55052D" w:rsidR="001067D9" w:rsidRPr="002D1D30" w:rsidRDefault="00513521" w:rsidP="001067D9">
      <w:pPr>
        <w:spacing w:after="0" w:line="240" w:lineRule="auto"/>
        <w:rPr>
          <w:rFonts w:cs="Tahoma"/>
          <w:b/>
          <w:spacing w:val="0"/>
          <w:sz w:val="28"/>
          <w:szCs w:val="28"/>
          <w:lang w:eastAsia="en-US"/>
        </w:rPr>
      </w:pPr>
      <w:r>
        <w:rPr>
          <w:rFonts w:cs="Tahoma"/>
          <w:b/>
          <w:spacing w:val="0"/>
          <w:sz w:val="28"/>
          <w:szCs w:val="28"/>
          <w:lang w:eastAsia="en-US"/>
        </w:rPr>
        <w:t>T</w:t>
      </w:r>
      <w:r w:rsidR="001067D9" w:rsidRPr="002D1D30">
        <w:rPr>
          <w:rFonts w:cs="Tahoma"/>
          <w:b/>
          <w:spacing w:val="0"/>
          <w:sz w:val="28"/>
          <w:szCs w:val="28"/>
          <w:lang w:eastAsia="en-US"/>
        </w:rPr>
        <w:t>erms of Reference</w:t>
      </w:r>
      <w:r>
        <w:rPr>
          <w:rFonts w:cs="Tahoma"/>
          <w:b/>
          <w:spacing w:val="0"/>
          <w:sz w:val="28"/>
          <w:szCs w:val="28"/>
          <w:lang w:eastAsia="en-US"/>
        </w:rPr>
        <w:t xml:space="preserve"> 2025-27</w:t>
      </w:r>
    </w:p>
    <w:p w14:paraId="7905EEBA" w14:textId="77777777" w:rsidR="001067D9" w:rsidRPr="002D1D30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</w:p>
    <w:p w14:paraId="73A44B48" w14:textId="6D2EBC51" w:rsidR="001067D9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  <w:r w:rsidRPr="002D1D30">
        <w:rPr>
          <w:rFonts w:cs="Tahoma"/>
          <w:b/>
          <w:spacing w:val="0"/>
          <w:lang w:eastAsia="en-US"/>
        </w:rPr>
        <w:t xml:space="preserve">Committee Name: </w:t>
      </w:r>
      <w:r>
        <w:rPr>
          <w:rFonts w:cs="Tahoma"/>
          <w:b/>
          <w:spacing w:val="0"/>
          <w:lang w:eastAsia="en-US"/>
        </w:rPr>
        <w:t>Public Services Sector Executive</w:t>
      </w:r>
      <w:r w:rsidR="0088069C">
        <w:rPr>
          <w:rFonts w:cs="Tahoma"/>
          <w:b/>
          <w:spacing w:val="0"/>
          <w:lang w:eastAsia="en-US"/>
        </w:rPr>
        <w:t xml:space="preserve"> Committee (PSSEC)</w:t>
      </w:r>
    </w:p>
    <w:p w14:paraId="136E4E01" w14:textId="77777777" w:rsidR="0088069C" w:rsidRDefault="0088069C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</w:p>
    <w:p w14:paraId="5489041C" w14:textId="7134E33A" w:rsidR="0088069C" w:rsidRPr="00436FD4" w:rsidRDefault="0088069C" w:rsidP="0088069C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  <w:r w:rsidRPr="00436FD4">
        <w:rPr>
          <w:rFonts w:cs="Tahoma"/>
          <w:b/>
          <w:spacing w:val="0"/>
          <w:lang w:eastAsia="en-US"/>
        </w:rPr>
        <w:t>Working methods: PSSEC Meetings  (quarterly) plus sub-committees</w:t>
      </w:r>
      <w:r>
        <w:rPr>
          <w:rFonts w:cs="Tahoma"/>
          <w:b/>
          <w:spacing w:val="0"/>
          <w:lang w:eastAsia="en-US"/>
        </w:rPr>
        <w:t>/</w:t>
      </w:r>
      <w:r w:rsidRPr="00436FD4">
        <w:rPr>
          <w:rFonts w:cs="Tahoma"/>
          <w:b/>
          <w:spacing w:val="0"/>
          <w:lang w:eastAsia="en-US"/>
        </w:rPr>
        <w:t>working groups as appropriate.</w:t>
      </w:r>
    </w:p>
    <w:p w14:paraId="6454CEFF" w14:textId="77777777" w:rsidR="0088069C" w:rsidRPr="00436FD4" w:rsidRDefault="0088069C" w:rsidP="0088069C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</w:p>
    <w:p w14:paraId="276F99DD" w14:textId="14FE2654" w:rsidR="0088069C" w:rsidRPr="00436FD4" w:rsidRDefault="0088069C" w:rsidP="0088069C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  <w:r w:rsidRPr="00436FD4">
        <w:rPr>
          <w:rFonts w:cs="Tahoma"/>
          <w:b/>
          <w:spacing w:val="0"/>
          <w:lang w:eastAsia="en-US"/>
        </w:rPr>
        <w:t>Composition: Secretary (appointed by NEC) Presidential Team (x3 by election) committee members (x16 by election)</w:t>
      </w:r>
    </w:p>
    <w:p w14:paraId="5D432F10" w14:textId="77777777" w:rsidR="0088069C" w:rsidRPr="00436FD4" w:rsidRDefault="0088069C" w:rsidP="0088069C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</w:p>
    <w:p w14:paraId="00E8F0C9" w14:textId="77777777" w:rsidR="001067D9" w:rsidRPr="002D1D30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</w:p>
    <w:p w14:paraId="036A0A97" w14:textId="360695F9" w:rsidR="001067D9" w:rsidRPr="002D1D30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  <w:r w:rsidRPr="002D1D30">
        <w:rPr>
          <w:rFonts w:cs="Tahoma"/>
          <w:b/>
          <w:spacing w:val="0"/>
          <w:lang w:eastAsia="en-US"/>
        </w:rPr>
        <w:t xml:space="preserve">Chair: </w:t>
      </w:r>
      <w:r w:rsidR="0088069C">
        <w:rPr>
          <w:rFonts w:cs="Tahoma"/>
          <w:b/>
          <w:spacing w:val="0"/>
          <w:lang w:eastAsia="en-US"/>
        </w:rPr>
        <w:t>President</w:t>
      </w:r>
    </w:p>
    <w:p w14:paraId="162505D8" w14:textId="77777777" w:rsidR="001067D9" w:rsidRPr="002D1D30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</w:p>
    <w:p w14:paraId="255DFD47" w14:textId="77777777" w:rsidR="001067D9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  <w:r w:rsidRPr="002D1D30">
        <w:rPr>
          <w:rFonts w:cs="Tahoma"/>
          <w:b/>
          <w:spacing w:val="0"/>
          <w:lang w:eastAsia="en-US"/>
        </w:rPr>
        <w:t xml:space="preserve">Purpose: </w:t>
      </w:r>
    </w:p>
    <w:p w14:paraId="28CF5125" w14:textId="77777777" w:rsidR="0088069C" w:rsidRPr="002D1D30" w:rsidRDefault="0088069C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</w:p>
    <w:p w14:paraId="21CA6425" w14:textId="31B6FF89" w:rsidR="001067D9" w:rsidRPr="002D1D30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spacing w:val="0"/>
          <w:lang w:eastAsia="en-US"/>
        </w:rPr>
      </w:pPr>
      <w:r w:rsidRPr="002D1D30">
        <w:rPr>
          <w:rFonts w:cs="Tahoma"/>
          <w:spacing w:val="0"/>
          <w:lang w:eastAsia="en-US"/>
        </w:rPr>
        <w:t xml:space="preserve">The purpose of the </w:t>
      </w:r>
      <w:r>
        <w:rPr>
          <w:rFonts w:cs="Tahoma"/>
          <w:spacing w:val="0"/>
          <w:lang w:eastAsia="en-US"/>
        </w:rPr>
        <w:t>C</w:t>
      </w:r>
      <w:r w:rsidRPr="002D1D30">
        <w:rPr>
          <w:rFonts w:cs="Tahoma"/>
          <w:spacing w:val="0"/>
          <w:lang w:eastAsia="en-US"/>
        </w:rPr>
        <w:t xml:space="preserve">ommittee is to </w:t>
      </w:r>
      <w:r>
        <w:rPr>
          <w:rFonts w:cs="Tahoma"/>
          <w:spacing w:val="0"/>
          <w:lang w:eastAsia="en-US"/>
        </w:rPr>
        <w:t xml:space="preserve">defend, protect, support, and enhance the working lives </w:t>
      </w:r>
      <w:r w:rsidRPr="002D1D30">
        <w:rPr>
          <w:rFonts w:cs="Tahoma"/>
          <w:spacing w:val="0"/>
          <w:lang w:eastAsia="en-US"/>
        </w:rPr>
        <w:t xml:space="preserve">of Prospect members in the Civil Service and </w:t>
      </w:r>
      <w:r>
        <w:rPr>
          <w:rFonts w:cs="Tahoma"/>
          <w:spacing w:val="0"/>
          <w:lang w:eastAsia="en-US"/>
        </w:rPr>
        <w:t>broader public sector. The Committee shall</w:t>
      </w:r>
      <w:r w:rsidRPr="002D1D30">
        <w:rPr>
          <w:rFonts w:cs="Tahoma"/>
          <w:spacing w:val="0"/>
          <w:lang w:eastAsia="en-US"/>
        </w:rPr>
        <w:t xml:space="preserve"> oversee and manage the relationship between the union and the Civil Service at a national level</w:t>
      </w:r>
      <w:r>
        <w:rPr>
          <w:rFonts w:cs="Tahoma"/>
          <w:spacing w:val="0"/>
          <w:lang w:eastAsia="en-US"/>
        </w:rPr>
        <w:t>, negotiate on national issues</w:t>
      </w:r>
      <w:r w:rsidR="00D91400">
        <w:rPr>
          <w:rFonts w:cs="Tahoma"/>
          <w:spacing w:val="0"/>
          <w:lang w:eastAsia="en-US"/>
        </w:rPr>
        <w:t>, campaign on issues across the whole Sector</w:t>
      </w:r>
      <w:r>
        <w:rPr>
          <w:rFonts w:cs="Tahoma"/>
          <w:spacing w:val="0"/>
          <w:lang w:eastAsia="en-US"/>
        </w:rPr>
        <w:t xml:space="preserve"> and provide proactive support and coordination to Branches in their engagement at employer level</w:t>
      </w:r>
      <w:r w:rsidRPr="002D1D30">
        <w:rPr>
          <w:rFonts w:cs="Tahoma"/>
          <w:spacing w:val="0"/>
          <w:lang w:eastAsia="en-US"/>
        </w:rPr>
        <w:t xml:space="preserve"> </w:t>
      </w:r>
    </w:p>
    <w:p w14:paraId="6C7092D7" w14:textId="77777777" w:rsidR="001067D9" w:rsidRPr="002D1D30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spacing w:val="0"/>
          <w:lang w:eastAsia="en-US"/>
        </w:rPr>
      </w:pPr>
    </w:p>
    <w:p w14:paraId="35BE332C" w14:textId="77777777" w:rsidR="001067D9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  <w:r w:rsidRPr="002D1D30">
        <w:rPr>
          <w:rFonts w:cs="Tahoma"/>
          <w:b/>
          <w:spacing w:val="0"/>
          <w:lang w:eastAsia="en-US"/>
        </w:rPr>
        <w:t xml:space="preserve">Scope: </w:t>
      </w:r>
    </w:p>
    <w:p w14:paraId="4EB3F754" w14:textId="77777777" w:rsidR="0088069C" w:rsidRPr="002D1D30" w:rsidRDefault="0088069C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</w:p>
    <w:p w14:paraId="5CBDFC92" w14:textId="547607AE" w:rsidR="001067D9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spacing w:val="0"/>
          <w:lang w:eastAsia="en-US"/>
        </w:rPr>
      </w:pPr>
      <w:r w:rsidRPr="002D1D30">
        <w:rPr>
          <w:rFonts w:cs="Tahoma"/>
          <w:spacing w:val="0"/>
          <w:lang w:eastAsia="en-US"/>
        </w:rPr>
        <w:t>The work of the committee includes policy development; industrial relations and collective bargaining; campaigning and lobbying; communications with members and branches; recruitment and organisation</w:t>
      </w:r>
      <w:r>
        <w:rPr>
          <w:rFonts w:cs="Tahoma"/>
          <w:spacing w:val="0"/>
          <w:lang w:eastAsia="en-US"/>
        </w:rPr>
        <w:t xml:space="preserve"> and the implementation of Sector and Union policy</w:t>
      </w:r>
      <w:r w:rsidRPr="002D1D30">
        <w:rPr>
          <w:rFonts w:cs="Tahoma"/>
          <w:spacing w:val="0"/>
          <w:lang w:eastAsia="en-US"/>
        </w:rPr>
        <w:t xml:space="preserve">; working with other unions </w:t>
      </w:r>
      <w:r>
        <w:rPr>
          <w:rFonts w:cs="Tahoma"/>
          <w:spacing w:val="0"/>
          <w:lang w:eastAsia="en-US"/>
        </w:rPr>
        <w:t>and promoting high levels of lay and FTO engagement.</w:t>
      </w:r>
    </w:p>
    <w:p w14:paraId="5A2BE34A" w14:textId="77777777" w:rsidR="0088069C" w:rsidRDefault="0088069C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</w:p>
    <w:p w14:paraId="35DE6013" w14:textId="577FBABE" w:rsidR="001067D9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  <w:r w:rsidRPr="002D1D30">
        <w:rPr>
          <w:rFonts w:cs="Tahoma"/>
          <w:b/>
          <w:spacing w:val="0"/>
          <w:lang w:eastAsia="en-US"/>
        </w:rPr>
        <w:t>Objectives:</w:t>
      </w:r>
    </w:p>
    <w:p w14:paraId="3AC2F675" w14:textId="77777777" w:rsidR="00E87F16" w:rsidRPr="002D1D30" w:rsidRDefault="00E87F16" w:rsidP="00E87F16">
      <w:pPr>
        <w:tabs>
          <w:tab w:val="left" w:pos="1134"/>
          <w:tab w:val="left" w:pos="6237"/>
        </w:tabs>
        <w:spacing w:after="0"/>
        <w:rPr>
          <w:rFonts w:cs="Tahoma"/>
          <w:spacing w:val="0"/>
          <w:lang w:eastAsia="en-US"/>
        </w:rPr>
      </w:pPr>
      <w:r>
        <w:rPr>
          <w:rFonts w:cs="Tahoma"/>
          <w:spacing w:val="0"/>
          <w:lang w:eastAsia="en-US"/>
        </w:rPr>
        <w:t>The committee has a set of key objectives which they will review annually and supplement with specific campaigning objectives which will be integrated with the sector development plan.</w:t>
      </w:r>
    </w:p>
    <w:p w14:paraId="785BC43C" w14:textId="77777777" w:rsidR="00587C8E" w:rsidRPr="002D1D30" w:rsidRDefault="00587C8E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lang w:eastAsia="en-US"/>
        </w:rPr>
      </w:pPr>
    </w:p>
    <w:p w14:paraId="2F1899F0" w14:textId="54B9FBDE" w:rsidR="001067D9" w:rsidRDefault="001067D9" w:rsidP="001067D9">
      <w:pPr>
        <w:tabs>
          <w:tab w:val="left" w:pos="1134"/>
          <w:tab w:val="left" w:pos="6237"/>
        </w:tabs>
        <w:spacing w:after="0"/>
        <w:rPr>
          <w:rFonts w:cs="Tahoma"/>
          <w:spacing w:val="0"/>
          <w:lang w:eastAsia="en-US"/>
        </w:rPr>
      </w:pPr>
      <w:r w:rsidRPr="002D1D30">
        <w:rPr>
          <w:rFonts w:cs="Tahoma"/>
          <w:spacing w:val="0"/>
          <w:lang w:eastAsia="en-US"/>
        </w:rPr>
        <w:t xml:space="preserve">The key objectives of the </w:t>
      </w:r>
      <w:r>
        <w:rPr>
          <w:rFonts w:cs="Tahoma"/>
          <w:spacing w:val="0"/>
          <w:lang w:eastAsia="en-US"/>
        </w:rPr>
        <w:t>P</w:t>
      </w:r>
      <w:r w:rsidRPr="002D1D30">
        <w:rPr>
          <w:rFonts w:cs="Tahoma"/>
          <w:spacing w:val="0"/>
          <w:lang w:eastAsia="en-US"/>
        </w:rPr>
        <w:t xml:space="preserve">SSEC are: </w:t>
      </w:r>
    </w:p>
    <w:p w14:paraId="7E004D2F" w14:textId="77777777" w:rsidR="00587C8E" w:rsidRPr="002D1D30" w:rsidRDefault="00587C8E" w:rsidP="001067D9">
      <w:pPr>
        <w:tabs>
          <w:tab w:val="left" w:pos="1134"/>
          <w:tab w:val="left" w:pos="6237"/>
        </w:tabs>
        <w:spacing w:after="0"/>
        <w:rPr>
          <w:rFonts w:cs="Tahoma"/>
          <w:spacing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7636B6" w:rsidRPr="002D1D30" w14:paraId="797F513D" w14:textId="77777777" w:rsidTr="00B85C4E">
        <w:tc>
          <w:tcPr>
            <w:tcW w:w="4219" w:type="dxa"/>
          </w:tcPr>
          <w:p w14:paraId="5DD64847" w14:textId="77777777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b/>
                <w:spacing w:val="0"/>
                <w:lang w:eastAsia="en-US"/>
              </w:rPr>
            </w:pPr>
            <w:r w:rsidRPr="002D1D30">
              <w:rPr>
                <w:rFonts w:cs="Tahoma"/>
                <w:b/>
                <w:spacing w:val="0"/>
                <w:lang w:eastAsia="en-US"/>
              </w:rPr>
              <w:t>Committee objective</w:t>
            </w:r>
          </w:p>
        </w:tc>
        <w:tc>
          <w:tcPr>
            <w:tcW w:w="4111" w:type="dxa"/>
          </w:tcPr>
          <w:p w14:paraId="0B849CC8" w14:textId="77777777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b/>
                <w:spacing w:val="0"/>
                <w:lang w:eastAsia="en-US"/>
              </w:rPr>
            </w:pPr>
            <w:r w:rsidRPr="002D1D30">
              <w:rPr>
                <w:rFonts w:cs="Tahoma"/>
                <w:b/>
                <w:spacing w:val="0"/>
                <w:lang w:eastAsia="en-US"/>
              </w:rPr>
              <w:t>Anticipated outcome</w:t>
            </w:r>
          </w:p>
        </w:tc>
      </w:tr>
      <w:tr w:rsidR="007636B6" w:rsidRPr="002D1D30" w14:paraId="18171A6F" w14:textId="77777777" w:rsidTr="00B85C4E">
        <w:tc>
          <w:tcPr>
            <w:tcW w:w="4219" w:type="dxa"/>
          </w:tcPr>
          <w:p w14:paraId="245C796D" w14:textId="22CE9448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>To highlight and champion the invaluable contribution our members make in defending, protecting, supporting, and enhancing the lives of people in the UK and beyond</w:t>
            </w:r>
          </w:p>
        </w:tc>
        <w:tc>
          <w:tcPr>
            <w:tcW w:w="4111" w:type="dxa"/>
          </w:tcPr>
          <w:p w14:paraId="13B4BF2F" w14:textId="555103DD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>Increased recognition and support amongst the public and stakeholders for the work our members do</w:t>
            </w:r>
          </w:p>
        </w:tc>
      </w:tr>
      <w:tr w:rsidR="007636B6" w:rsidRPr="002D1D30" w14:paraId="77DF4546" w14:textId="77777777" w:rsidTr="00B85C4E">
        <w:tc>
          <w:tcPr>
            <w:tcW w:w="4219" w:type="dxa"/>
          </w:tcPr>
          <w:p w14:paraId="495DDC2E" w14:textId="6A1B5244" w:rsidR="0053121B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 xml:space="preserve">To </w:t>
            </w:r>
            <w:r w:rsidR="00857FD2">
              <w:rPr>
                <w:rFonts w:cs="Tahoma"/>
                <w:spacing w:val="0"/>
                <w:lang w:eastAsia="en-US"/>
              </w:rPr>
              <w:t>advance</w:t>
            </w:r>
            <w:r>
              <w:rPr>
                <w:rFonts w:cs="Tahoma"/>
                <w:spacing w:val="0"/>
                <w:lang w:eastAsia="en-US"/>
              </w:rPr>
              <w:t xml:space="preserve"> our campaign to reform pay systems</w:t>
            </w:r>
            <w:r w:rsidR="00842BFA">
              <w:rPr>
                <w:rFonts w:cs="Tahoma"/>
                <w:spacing w:val="0"/>
                <w:lang w:eastAsia="en-US"/>
              </w:rPr>
              <w:t xml:space="preserve"> </w:t>
            </w:r>
            <w:r w:rsidR="007D00E2">
              <w:rPr>
                <w:rFonts w:cs="Tahoma"/>
                <w:spacing w:val="0"/>
                <w:lang w:eastAsia="en-US"/>
              </w:rPr>
              <w:t>an</w:t>
            </w:r>
            <w:r w:rsidR="007E5881">
              <w:rPr>
                <w:rFonts w:cs="Tahoma"/>
                <w:spacing w:val="0"/>
                <w:lang w:eastAsia="en-US"/>
              </w:rPr>
              <w:t>d the</w:t>
            </w:r>
            <w:r w:rsidR="0070690D">
              <w:rPr>
                <w:rFonts w:cs="Tahoma"/>
                <w:spacing w:val="0"/>
                <w:lang w:eastAsia="en-US"/>
              </w:rPr>
              <w:t>ir</w:t>
            </w:r>
            <w:r w:rsidR="007E5881">
              <w:rPr>
                <w:rFonts w:cs="Tahoma"/>
                <w:spacing w:val="0"/>
                <w:lang w:eastAsia="en-US"/>
              </w:rPr>
              <w:t xml:space="preserve"> funding</w:t>
            </w:r>
          </w:p>
        </w:tc>
        <w:tc>
          <w:tcPr>
            <w:tcW w:w="4111" w:type="dxa"/>
          </w:tcPr>
          <w:p w14:paraId="5924EA3F" w14:textId="3340139B" w:rsidR="007636B6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 xml:space="preserve">Greater coordination amongst branches on the issue of pay with a focus on </w:t>
            </w:r>
            <w:r w:rsidR="00C1708B">
              <w:rPr>
                <w:rFonts w:cs="Tahoma"/>
                <w:spacing w:val="0"/>
                <w:lang w:eastAsia="en-US"/>
              </w:rPr>
              <w:t xml:space="preserve">training, awareness raising, </w:t>
            </w:r>
            <w:r>
              <w:rPr>
                <w:rFonts w:cs="Tahoma"/>
                <w:spacing w:val="0"/>
                <w:lang w:eastAsia="en-US"/>
              </w:rPr>
              <w:t xml:space="preserve">joint activity and coordinated action </w:t>
            </w:r>
            <w:proofErr w:type="gramStart"/>
            <w:r>
              <w:rPr>
                <w:rFonts w:cs="Tahoma"/>
                <w:spacing w:val="0"/>
                <w:lang w:eastAsia="en-US"/>
              </w:rPr>
              <w:t>where</w:t>
            </w:r>
            <w:proofErr w:type="gramEnd"/>
            <w:r>
              <w:rPr>
                <w:rFonts w:cs="Tahoma"/>
                <w:spacing w:val="0"/>
                <w:lang w:eastAsia="en-US"/>
              </w:rPr>
              <w:t xml:space="preserve"> supported by branches and members</w:t>
            </w:r>
            <w:r w:rsidR="00DB6122">
              <w:rPr>
                <w:rFonts w:cs="Tahoma"/>
                <w:spacing w:val="0"/>
                <w:lang w:eastAsia="en-US"/>
              </w:rPr>
              <w:t>.</w:t>
            </w:r>
            <w:r w:rsidR="00C777B0">
              <w:rPr>
                <w:rFonts w:cs="Tahoma"/>
                <w:spacing w:val="0"/>
                <w:lang w:eastAsia="en-US"/>
              </w:rPr>
              <w:t xml:space="preserve"> </w:t>
            </w:r>
          </w:p>
          <w:p w14:paraId="41280DAD" w14:textId="1D9C1AE2" w:rsidR="00C777B0" w:rsidRDefault="00C777B0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>Work with other unions to seek to engage with the Cabinet Office and gain the support of other stakeholders</w:t>
            </w:r>
            <w:r w:rsidR="00DB6122">
              <w:rPr>
                <w:rFonts w:cs="Tahoma"/>
                <w:spacing w:val="0"/>
                <w:lang w:eastAsia="en-US"/>
              </w:rPr>
              <w:t xml:space="preserve"> to press for an independent pay review body for specialists and recognition for </w:t>
            </w:r>
            <w:r w:rsidR="00DB6122">
              <w:rPr>
                <w:rFonts w:cs="Tahoma"/>
                <w:spacing w:val="0"/>
                <w:lang w:eastAsia="en-US"/>
              </w:rPr>
              <w:lastRenderedPageBreak/>
              <w:t>the wider contribution our members make as managers and professionals</w:t>
            </w:r>
          </w:p>
          <w:p w14:paraId="6EE59057" w14:textId="1D3F55BF" w:rsidR="00C777B0" w:rsidRPr="002D1D30" w:rsidRDefault="00C777B0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</w:p>
        </w:tc>
      </w:tr>
      <w:tr w:rsidR="007636B6" w:rsidRPr="002D1D30" w14:paraId="172D5A86" w14:textId="77777777" w:rsidTr="00B85C4E">
        <w:tc>
          <w:tcPr>
            <w:tcW w:w="4219" w:type="dxa"/>
          </w:tcPr>
          <w:p w14:paraId="4B718F62" w14:textId="2CB7D5E0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lastRenderedPageBreak/>
              <w:t xml:space="preserve">To champion and increase the profile, membership, and influence of </w:t>
            </w:r>
            <w:r w:rsidR="00114E04">
              <w:rPr>
                <w:rFonts w:cs="Tahoma"/>
                <w:spacing w:val="0"/>
                <w:lang w:eastAsia="en-US"/>
              </w:rPr>
              <w:t>Prospect,</w:t>
            </w:r>
            <w:r>
              <w:rPr>
                <w:rFonts w:cs="Tahoma"/>
                <w:spacing w:val="0"/>
                <w:lang w:eastAsia="en-US"/>
              </w:rPr>
              <w:t xml:space="preserve"> in the civil service and more widely</w:t>
            </w:r>
            <w:r w:rsidR="00337963">
              <w:rPr>
                <w:rFonts w:cs="Tahoma"/>
                <w:spacing w:val="0"/>
                <w:lang w:eastAsia="en-US"/>
              </w:rPr>
              <w:t>,</w:t>
            </w:r>
            <w:r>
              <w:rPr>
                <w:rFonts w:cs="Tahoma"/>
                <w:spacing w:val="0"/>
                <w:lang w:eastAsia="en-US"/>
              </w:rPr>
              <w:t xml:space="preserve"> representing professionals, managers, and specialists</w:t>
            </w:r>
          </w:p>
        </w:tc>
        <w:tc>
          <w:tcPr>
            <w:tcW w:w="4111" w:type="dxa"/>
          </w:tcPr>
          <w:p w14:paraId="08F76D6B" w14:textId="1E0921AC" w:rsidR="007636B6" w:rsidRPr="002D1D30" w:rsidRDefault="003550F8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>Increased awareness across</w:t>
            </w:r>
            <w:r w:rsidR="0066213B">
              <w:rPr>
                <w:rFonts w:cs="Tahoma"/>
                <w:spacing w:val="0"/>
                <w:lang w:eastAsia="en-US"/>
              </w:rPr>
              <w:t xml:space="preserve"> </w:t>
            </w:r>
            <w:r w:rsidR="007636B6">
              <w:rPr>
                <w:rFonts w:cs="Tahoma"/>
                <w:spacing w:val="0"/>
                <w:lang w:eastAsia="en-US"/>
              </w:rPr>
              <w:t xml:space="preserve">social media and other channels </w:t>
            </w:r>
            <w:r w:rsidR="002769AB">
              <w:rPr>
                <w:rFonts w:cs="Tahoma"/>
                <w:spacing w:val="0"/>
                <w:lang w:eastAsia="en-US"/>
              </w:rPr>
              <w:t>of</w:t>
            </w:r>
            <w:r w:rsidR="007636B6">
              <w:rPr>
                <w:rFonts w:cs="Tahoma"/>
                <w:spacing w:val="0"/>
                <w:lang w:eastAsia="en-US"/>
              </w:rPr>
              <w:t xml:space="preserve"> the work we do to support members across the </w:t>
            </w:r>
            <w:proofErr w:type="gramStart"/>
            <w:r w:rsidR="007636B6">
              <w:rPr>
                <w:rFonts w:cs="Tahoma"/>
                <w:spacing w:val="0"/>
                <w:lang w:eastAsia="en-US"/>
              </w:rPr>
              <w:t>Public</w:t>
            </w:r>
            <w:proofErr w:type="gramEnd"/>
            <w:r w:rsidR="007636B6">
              <w:rPr>
                <w:rFonts w:cs="Tahoma"/>
                <w:spacing w:val="0"/>
                <w:lang w:eastAsia="en-US"/>
              </w:rPr>
              <w:t xml:space="preserve"> sector</w:t>
            </w:r>
          </w:p>
        </w:tc>
      </w:tr>
      <w:tr w:rsidR="007636B6" w:rsidRPr="002D1D30" w14:paraId="7489D957" w14:textId="77777777" w:rsidTr="00B85C4E">
        <w:tc>
          <w:tcPr>
            <w:tcW w:w="4219" w:type="dxa"/>
          </w:tcPr>
          <w:p w14:paraId="10369EEA" w14:textId="267DA0B5" w:rsidR="006E0C88" w:rsidRDefault="006E0C88" w:rsidP="006E0C88">
            <w:pPr>
              <w:rPr>
                <w:rFonts w:ascii="Aptos" w:hAnsi="Aptos"/>
                <w:spacing w:val="0"/>
              </w:rPr>
            </w:pPr>
            <w:r>
              <w:t>To influence the Cabinet Office (esp. Government People Group, GPG), Treasury, Ministers, Devolved Parliaments and Assemblies and other stakeholders”</w:t>
            </w:r>
          </w:p>
          <w:p w14:paraId="225EFA5B" w14:textId="77777777" w:rsidR="006E0C88" w:rsidRDefault="006E0C88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</w:p>
          <w:p w14:paraId="6AA8C7F7" w14:textId="77777777" w:rsidR="006C54DC" w:rsidRDefault="006C54DC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 xml:space="preserve">To help develop policy on a range of issues using knowledge and experience of PSSEC and those it represents including lay representatives. </w:t>
            </w:r>
          </w:p>
          <w:p w14:paraId="41F67713" w14:textId="2B211809" w:rsidR="006C54DC" w:rsidRPr="002D1D30" w:rsidRDefault="006C54DC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</w:p>
        </w:tc>
        <w:tc>
          <w:tcPr>
            <w:tcW w:w="4111" w:type="dxa"/>
          </w:tcPr>
          <w:p w14:paraId="4D529779" w14:textId="520582A0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 w:rsidRPr="002D1D30">
              <w:rPr>
                <w:rFonts w:cs="Tahoma"/>
                <w:spacing w:val="0"/>
                <w:lang w:eastAsia="en-US"/>
              </w:rPr>
              <w:t xml:space="preserve">Tangible impact on </w:t>
            </w:r>
            <w:proofErr w:type="gramStart"/>
            <w:r w:rsidRPr="002D1D30">
              <w:rPr>
                <w:rFonts w:cs="Tahoma"/>
                <w:spacing w:val="0"/>
                <w:lang w:eastAsia="en-US"/>
              </w:rPr>
              <w:t>pay</w:t>
            </w:r>
            <w:proofErr w:type="gramEnd"/>
            <w:r w:rsidRPr="002D1D30">
              <w:rPr>
                <w:rFonts w:cs="Tahoma"/>
                <w:spacing w:val="0"/>
                <w:lang w:eastAsia="en-US"/>
              </w:rPr>
              <w:t>, pensions</w:t>
            </w:r>
            <w:r w:rsidR="006C54DC">
              <w:rPr>
                <w:rFonts w:cs="Tahoma"/>
                <w:spacing w:val="0"/>
                <w:lang w:eastAsia="en-US"/>
              </w:rPr>
              <w:t xml:space="preserve"> provision</w:t>
            </w:r>
            <w:r w:rsidRPr="002D1D30">
              <w:rPr>
                <w:rFonts w:cs="Tahoma"/>
                <w:spacing w:val="0"/>
                <w:lang w:eastAsia="en-US"/>
              </w:rPr>
              <w:t xml:space="preserve">, </w:t>
            </w:r>
            <w:r>
              <w:rPr>
                <w:rFonts w:cs="Tahoma"/>
                <w:spacing w:val="0"/>
                <w:lang w:eastAsia="en-US"/>
              </w:rPr>
              <w:t>severance terms</w:t>
            </w:r>
            <w:r w:rsidR="00ED2420">
              <w:rPr>
                <w:rFonts w:cs="Tahoma"/>
                <w:spacing w:val="0"/>
                <w:lang w:eastAsia="en-US"/>
              </w:rPr>
              <w:t xml:space="preserve"> and</w:t>
            </w:r>
            <w:r>
              <w:rPr>
                <w:rFonts w:cs="Tahoma"/>
                <w:spacing w:val="0"/>
                <w:lang w:eastAsia="en-US"/>
              </w:rPr>
              <w:t xml:space="preserve"> working practices. </w:t>
            </w:r>
            <w:r w:rsidR="00352EB3">
              <w:rPr>
                <w:rFonts w:cs="Tahoma"/>
                <w:spacing w:val="0"/>
                <w:lang w:eastAsia="en-US"/>
              </w:rPr>
              <w:t>Enhanced l</w:t>
            </w:r>
            <w:r>
              <w:rPr>
                <w:rFonts w:cs="Tahoma"/>
                <w:spacing w:val="0"/>
                <w:lang w:eastAsia="en-US"/>
              </w:rPr>
              <w:t xml:space="preserve">ocal and national Trade Union </w:t>
            </w:r>
            <w:r w:rsidR="00B85C4E">
              <w:rPr>
                <w:rFonts w:cs="Tahoma"/>
                <w:spacing w:val="0"/>
                <w:lang w:eastAsia="en-US"/>
              </w:rPr>
              <w:t>e</w:t>
            </w:r>
            <w:r>
              <w:rPr>
                <w:rFonts w:cs="Tahoma"/>
                <w:spacing w:val="0"/>
                <w:lang w:eastAsia="en-US"/>
              </w:rPr>
              <w:t xml:space="preserve">ngagement </w:t>
            </w:r>
            <w:r w:rsidR="00114E04" w:rsidRPr="002D1D30">
              <w:rPr>
                <w:rFonts w:cs="Tahoma"/>
                <w:spacing w:val="0"/>
                <w:lang w:eastAsia="en-US"/>
              </w:rPr>
              <w:t>in discussions</w:t>
            </w:r>
            <w:r w:rsidRPr="002D1D30">
              <w:rPr>
                <w:rFonts w:cs="Tahoma"/>
                <w:spacing w:val="0"/>
                <w:lang w:eastAsia="en-US"/>
              </w:rPr>
              <w:t xml:space="preserve"> on terms and conditions</w:t>
            </w:r>
            <w:r>
              <w:rPr>
                <w:rFonts w:cs="Tahoma"/>
                <w:spacing w:val="0"/>
                <w:lang w:eastAsia="en-US"/>
              </w:rPr>
              <w:t>, policies,</w:t>
            </w:r>
            <w:r w:rsidRPr="002D1D30">
              <w:rPr>
                <w:rFonts w:cs="Tahoma"/>
                <w:spacing w:val="0"/>
                <w:lang w:eastAsia="en-US"/>
              </w:rPr>
              <w:t xml:space="preserve"> and</w:t>
            </w:r>
            <w:r>
              <w:rPr>
                <w:rFonts w:cs="Tahoma"/>
                <w:spacing w:val="0"/>
                <w:lang w:eastAsia="en-US"/>
              </w:rPr>
              <w:t xml:space="preserve"> </w:t>
            </w:r>
            <w:r w:rsidRPr="002D1D30">
              <w:rPr>
                <w:rFonts w:cs="Tahoma"/>
                <w:spacing w:val="0"/>
                <w:lang w:eastAsia="en-US"/>
              </w:rPr>
              <w:t xml:space="preserve">Civil Service </w:t>
            </w:r>
            <w:r>
              <w:rPr>
                <w:rFonts w:cs="Tahoma"/>
                <w:spacing w:val="0"/>
                <w:lang w:eastAsia="en-US"/>
              </w:rPr>
              <w:t>reform</w:t>
            </w:r>
          </w:p>
        </w:tc>
      </w:tr>
      <w:tr w:rsidR="007636B6" w:rsidRPr="002D1D30" w14:paraId="033B17AD" w14:textId="77777777" w:rsidTr="00B85C4E">
        <w:tc>
          <w:tcPr>
            <w:tcW w:w="4219" w:type="dxa"/>
          </w:tcPr>
          <w:p w14:paraId="6763DD62" w14:textId="65273753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>To champion equality, diversity, and inclusion to ensure all members get a fair deal at work</w:t>
            </w:r>
          </w:p>
        </w:tc>
        <w:tc>
          <w:tcPr>
            <w:tcW w:w="4111" w:type="dxa"/>
          </w:tcPr>
          <w:p w14:paraId="69191B59" w14:textId="1DDF8777" w:rsidR="007636B6" w:rsidRPr="002D1D30" w:rsidRDefault="00B84947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>Activity</w:t>
            </w:r>
            <w:r w:rsidR="007636B6">
              <w:rPr>
                <w:rFonts w:cs="Tahoma"/>
                <w:spacing w:val="0"/>
                <w:lang w:eastAsia="en-US"/>
              </w:rPr>
              <w:t xml:space="preserve"> with branches and at a central level with the Cabinet Office and other stakeholders </w:t>
            </w:r>
            <w:r w:rsidR="00271F0E">
              <w:rPr>
                <w:rFonts w:cs="Tahoma"/>
                <w:spacing w:val="0"/>
                <w:lang w:eastAsia="en-US"/>
              </w:rPr>
              <w:t>that</w:t>
            </w:r>
            <w:r w:rsidR="007636B6">
              <w:rPr>
                <w:rFonts w:cs="Tahoma"/>
                <w:spacing w:val="0"/>
                <w:lang w:eastAsia="en-US"/>
              </w:rPr>
              <w:t xml:space="preserve"> promote</w:t>
            </w:r>
            <w:r w:rsidR="00271F0E">
              <w:rPr>
                <w:rFonts w:cs="Tahoma"/>
                <w:spacing w:val="0"/>
                <w:lang w:eastAsia="en-US"/>
              </w:rPr>
              <w:t>s</w:t>
            </w:r>
            <w:r w:rsidR="007636B6">
              <w:rPr>
                <w:rFonts w:cs="Tahoma"/>
                <w:spacing w:val="0"/>
                <w:lang w:eastAsia="en-US"/>
              </w:rPr>
              <w:t xml:space="preserve"> equality, diversity and inclusion through effective HR policy implementation and evaluation</w:t>
            </w:r>
          </w:p>
        </w:tc>
      </w:tr>
      <w:tr w:rsidR="007636B6" w:rsidRPr="002D1D30" w14:paraId="75628A9D" w14:textId="77777777" w:rsidTr="00B85C4E">
        <w:tc>
          <w:tcPr>
            <w:tcW w:w="4219" w:type="dxa"/>
          </w:tcPr>
          <w:p w14:paraId="0FD7D25D" w14:textId="75A43659" w:rsidR="007636B6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 w:rsidRPr="002D1D30">
              <w:rPr>
                <w:rFonts w:cs="Tahoma"/>
                <w:spacing w:val="0"/>
                <w:lang w:eastAsia="en-US"/>
              </w:rPr>
              <w:t>To be democratically accountable to members</w:t>
            </w:r>
            <w:r w:rsidR="00501367">
              <w:rPr>
                <w:rFonts w:cs="Tahoma"/>
                <w:spacing w:val="0"/>
                <w:lang w:eastAsia="en-US"/>
              </w:rPr>
              <w:t xml:space="preserve"> through</w:t>
            </w:r>
            <w:r w:rsidR="006E5F94" w:rsidRPr="006E5F94">
              <w:rPr>
                <w:rFonts w:cs="Tahoma"/>
                <w:spacing w:val="0"/>
                <w:lang w:eastAsia="en-US"/>
              </w:rPr>
              <w:t xml:space="preserve"> regular contact with branches and members, report</w:t>
            </w:r>
            <w:r w:rsidR="00B8274F">
              <w:rPr>
                <w:rFonts w:cs="Tahoma"/>
                <w:spacing w:val="0"/>
                <w:lang w:eastAsia="en-US"/>
              </w:rPr>
              <w:t>ing</w:t>
            </w:r>
            <w:r w:rsidR="006E5F94" w:rsidRPr="006E5F94">
              <w:rPr>
                <w:rFonts w:cs="Tahoma"/>
                <w:spacing w:val="0"/>
                <w:lang w:eastAsia="en-US"/>
              </w:rPr>
              <w:t xml:space="preserve"> back on major activities and consult</w:t>
            </w:r>
            <w:r w:rsidR="00B8274F">
              <w:rPr>
                <w:rFonts w:cs="Tahoma"/>
                <w:spacing w:val="0"/>
                <w:lang w:eastAsia="en-US"/>
              </w:rPr>
              <w:t>ing</w:t>
            </w:r>
            <w:r w:rsidR="00C27CB4">
              <w:rPr>
                <w:rFonts w:cs="Tahoma"/>
                <w:spacing w:val="0"/>
                <w:lang w:eastAsia="en-US"/>
              </w:rPr>
              <w:t>/</w:t>
            </w:r>
            <w:r w:rsidR="006E5F94" w:rsidRPr="006E5F94">
              <w:rPr>
                <w:rFonts w:cs="Tahoma"/>
                <w:spacing w:val="0"/>
                <w:lang w:eastAsia="en-US"/>
              </w:rPr>
              <w:t>ballot</w:t>
            </w:r>
            <w:r w:rsidR="00B8274F">
              <w:rPr>
                <w:rFonts w:cs="Tahoma"/>
                <w:spacing w:val="0"/>
                <w:lang w:eastAsia="en-US"/>
              </w:rPr>
              <w:t>ing</w:t>
            </w:r>
            <w:r w:rsidR="006E5F94" w:rsidRPr="006E5F94">
              <w:rPr>
                <w:rFonts w:cs="Tahoma"/>
                <w:spacing w:val="0"/>
                <w:lang w:eastAsia="en-US"/>
              </w:rPr>
              <w:t xml:space="preserve"> member on key proposed changes negotiated at a national level such as to pensions and severance terms</w:t>
            </w:r>
          </w:p>
          <w:p w14:paraId="5C981511" w14:textId="77777777" w:rsidR="006C54DC" w:rsidRDefault="006C54DC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</w:p>
          <w:p w14:paraId="405AECDE" w14:textId="1DA5C1B2" w:rsidR="006C54DC" w:rsidRDefault="006C54DC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 xml:space="preserve">To raise visibility of the PSSEC, the individuals on it and the work that it does </w:t>
            </w:r>
            <w:proofErr w:type="gramStart"/>
            <w:r>
              <w:rPr>
                <w:rFonts w:cs="Tahoma"/>
                <w:spacing w:val="0"/>
                <w:lang w:eastAsia="en-US"/>
              </w:rPr>
              <w:t>in particular with</w:t>
            </w:r>
            <w:proofErr w:type="gramEnd"/>
            <w:r>
              <w:rPr>
                <w:rFonts w:cs="Tahoma"/>
                <w:spacing w:val="0"/>
                <w:lang w:eastAsia="en-US"/>
              </w:rPr>
              <w:t xml:space="preserve"> lay representatives. </w:t>
            </w:r>
          </w:p>
          <w:p w14:paraId="0D08025F" w14:textId="4F7178BC" w:rsidR="006C54DC" w:rsidRPr="002D1D30" w:rsidRDefault="006C54DC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</w:p>
        </w:tc>
        <w:tc>
          <w:tcPr>
            <w:tcW w:w="4111" w:type="dxa"/>
          </w:tcPr>
          <w:p w14:paraId="758E2659" w14:textId="1CA633E7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 w:rsidRPr="002D1D30">
              <w:rPr>
                <w:rFonts w:cs="Tahoma"/>
                <w:spacing w:val="0"/>
                <w:lang w:eastAsia="en-US"/>
              </w:rPr>
              <w:t>Effective sector conference</w:t>
            </w:r>
            <w:r w:rsidR="00045DB7">
              <w:rPr>
                <w:rFonts w:cs="Tahoma"/>
                <w:spacing w:val="0"/>
                <w:lang w:eastAsia="en-US"/>
              </w:rPr>
              <w:t>; regular</w:t>
            </w:r>
            <w:r w:rsidR="003335E1">
              <w:rPr>
                <w:rFonts w:cs="Tahoma"/>
                <w:spacing w:val="0"/>
                <w:lang w:eastAsia="en-US"/>
              </w:rPr>
              <w:t xml:space="preserve"> and timely</w:t>
            </w:r>
          </w:p>
          <w:p w14:paraId="0367D557" w14:textId="079D82CD" w:rsidR="007636B6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 xml:space="preserve"> communications </w:t>
            </w:r>
            <w:r w:rsidR="006C54DC">
              <w:rPr>
                <w:rFonts w:cs="Tahoma"/>
                <w:spacing w:val="0"/>
                <w:lang w:eastAsia="en-US"/>
              </w:rPr>
              <w:t xml:space="preserve">with </w:t>
            </w:r>
            <w:r>
              <w:rPr>
                <w:rFonts w:cs="Tahoma"/>
                <w:spacing w:val="0"/>
                <w:lang w:eastAsia="en-US"/>
              </w:rPr>
              <w:t xml:space="preserve">branches and </w:t>
            </w:r>
            <w:r w:rsidR="00114E04">
              <w:rPr>
                <w:rFonts w:cs="Tahoma"/>
                <w:spacing w:val="0"/>
                <w:lang w:eastAsia="en-US"/>
              </w:rPr>
              <w:t>members,</w:t>
            </w:r>
            <w:r>
              <w:rPr>
                <w:rFonts w:cs="Tahoma"/>
                <w:spacing w:val="0"/>
                <w:lang w:eastAsia="en-US"/>
              </w:rPr>
              <w:t xml:space="preserve"> consult</w:t>
            </w:r>
            <w:r w:rsidR="00DA652B">
              <w:rPr>
                <w:rFonts w:cs="Tahoma"/>
                <w:spacing w:val="0"/>
                <w:lang w:eastAsia="en-US"/>
              </w:rPr>
              <w:t>ation with</w:t>
            </w:r>
            <w:r>
              <w:rPr>
                <w:rFonts w:cs="Tahoma"/>
                <w:spacing w:val="0"/>
                <w:lang w:eastAsia="en-US"/>
              </w:rPr>
              <w:t xml:space="preserve"> members on key issues and </w:t>
            </w:r>
            <w:r w:rsidR="003C75F1">
              <w:rPr>
                <w:rFonts w:cs="Tahoma"/>
                <w:spacing w:val="0"/>
                <w:lang w:eastAsia="en-US"/>
              </w:rPr>
              <w:t xml:space="preserve">on </w:t>
            </w:r>
            <w:r>
              <w:rPr>
                <w:rFonts w:cs="Tahoma"/>
                <w:spacing w:val="0"/>
                <w:lang w:eastAsia="en-US"/>
              </w:rPr>
              <w:t>implement</w:t>
            </w:r>
            <w:r w:rsidR="003C75F1">
              <w:rPr>
                <w:rFonts w:cs="Tahoma"/>
                <w:spacing w:val="0"/>
                <w:lang w:eastAsia="en-US"/>
              </w:rPr>
              <w:t>ation</w:t>
            </w:r>
            <w:r>
              <w:rPr>
                <w:rFonts w:cs="Tahoma"/>
                <w:spacing w:val="0"/>
                <w:lang w:eastAsia="en-US"/>
              </w:rPr>
              <w:t xml:space="preserve"> </w:t>
            </w:r>
            <w:r w:rsidR="003C75F1">
              <w:rPr>
                <w:rFonts w:cs="Tahoma"/>
                <w:spacing w:val="0"/>
                <w:lang w:eastAsia="en-US"/>
              </w:rPr>
              <w:t>of</w:t>
            </w:r>
            <w:r>
              <w:rPr>
                <w:rFonts w:cs="Tahoma"/>
                <w:spacing w:val="0"/>
                <w:lang w:eastAsia="en-US"/>
              </w:rPr>
              <w:t xml:space="preserve"> Sector policy</w:t>
            </w:r>
          </w:p>
          <w:p w14:paraId="320E4EE1" w14:textId="77777777" w:rsidR="006C54DC" w:rsidRDefault="006C54DC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</w:p>
          <w:p w14:paraId="69622641" w14:textId="38A94EF3" w:rsidR="006C54DC" w:rsidRPr="002D1D30" w:rsidRDefault="006C54DC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 xml:space="preserve">Pipeline of PSSEC members through greater visibility of its work and importance. </w:t>
            </w:r>
          </w:p>
        </w:tc>
      </w:tr>
      <w:tr w:rsidR="007636B6" w:rsidRPr="002D1D30" w14:paraId="0928E935" w14:textId="77777777" w:rsidTr="00B85C4E">
        <w:tc>
          <w:tcPr>
            <w:tcW w:w="4219" w:type="dxa"/>
          </w:tcPr>
          <w:p w14:paraId="606CA4AA" w14:textId="154574BC" w:rsidR="007636B6" w:rsidRPr="002D1D30" w:rsidRDefault="003C75F1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 xml:space="preserve">Growth </w:t>
            </w:r>
            <w:proofErr w:type="gramStart"/>
            <w:r>
              <w:rPr>
                <w:rFonts w:cs="Tahoma"/>
                <w:spacing w:val="0"/>
                <w:lang w:eastAsia="en-US"/>
              </w:rPr>
              <w:t xml:space="preserve">of </w:t>
            </w:r>
            <w:r w:rsidR="007636B6">
              <w:rPr>
                <w:rFonts w:cs="Tahoma"/>
                <w:spacing w:val="0"/>
                <w:lang w:eastAsia="en-US"/>
              </w:rPr>
              <w:t xml:space="preserve"> membership</w:t>
            </w:r>
            <w:proofErr w:type="gramEnd"/>
            <w:r w:rsidR="007636B6">
              <w:rPr>
                <w:rFonts w:cs="Tahoma"/>
                <w:spacing w:val="0"/>
                <w:lang w:eastAsia="en-US"/>
              </w:rPr>
              <w:t xml:space="preserve">  </w:t>
            </w:r>
            <w:r w:rsidR="006C54DC">
              <w:rPr>
                <w:rFonts w:cs="Tahoma"/>
                <w:spacing w:val="0"/>
                <w:lang w:eastAsia="en-US"/>
              </w:rPr>
              <w:t xml:space="preserve">density </w:t>
            </w:r>
            <w:r w:rsidR="00140B75">
              <w:rPr>
                <w:rFonts w:cs="Tahoma"/>
                <w:spacing w:val="0"/>
                <w:lang w:eastAsia="en-US"/>
              </w:rPr>
              <w:t xml:space="preserve">in </w:t>
            </w:r>
            <w:r w:rsidR="007636B6">
              <w:rPr>
                <w:rFonts w:cs="Tahoma"/>
                <w:spacing w:val="0"/>
                <w:lang w:eastAsia="en-US"/>
              </w:rPr>
              <w:t>the Sector</w:t>
            </w:r>
            <w:r w:rsidR="006C54DC">
              <w:rPr>
                <w:rFonts w:cs="Tahoma"/>
                <w:spacing w:val="0"/>
                <w:lang w:eastAsia="en-US"/>
              </w:rPr>
              <w:t xml:space="preserve"> and establishment of sustainable bargaining units using Employment Rights Bill where appropriate</w:t>
            </w:r>
          </w:p>
        </w:tc>
        <w:tc>
          <w:tcPr>
            <w:tcW w:w="4111" w:type="dxa"/>
          </w:tcPr>
          <w:p w14:paraId="72D8FB2D" w14:textId="328BE927" w:rsidR="007636B6" w:rsidRPr="002D1D30" w:rsidRDefault="00B86195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 xml:space="preserve">Implementation of </w:t>
            </w:r>
            <w:r w:rsidR="00C95601">
              <w:rPr>
                <w:rFonts w:cs="Tahoma"/>
                <w:spacing w:val="0"/>
                <w:lang w:eastAsia="en-US"/>
              </w:rPr>
              <w:t>an o</w:t>
            </w:r>
            <w:r>
              <w:rPr>
                <w:rFonts w:cs="Tahoma"/>
                <w:spacing w:val="0"/>
                <w:lang w:eastAsia="en-US"/>
              </w:rPr>
              <w:t>rganising strategy that delivers membership growth</w:t>
            </w:r>
          </w:p>
        </w:tc>
      </w:tr>
      <w:tr w:rsidR="007636B6" w:rsidRPr="002D1D30" w14:paraId="093DAE9D" w14:textId="77777777" w:rsidTr="00B85C4E">
        <w:tc>
          <w:tcPr>
            <w:tcW w:w="4219" w:type="dxa"/>
          </w:tcPr>
          <w:p w14:paraId="01875379" w14:textId="67FD5D70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</w:p>
        </w:tc>
        <w:tc>
          <w:tcPr>
            <w:tcW w:w="4111" w:type="dxa"/>
          </w:tcPr>
          <w:p w14:paraId="65DDCE3C" w14:textId="76E30E06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</w:p>
        </w:tc>
      </w:tr>
      <w:tr w:rsidR="007636B6" w:rsidRPr="002D1D30" w14:paraId="642CD0FA" w14:textId="77777777" w:rsidTr="00B85C4E">
        <w:tc>
          <w:tcPr>
            <w:tcW w:w="4219" w:type="dxa"/>
          </w:tcPr>
          <w:p w14:paraId="1E607635" w14:textId="7F9DF2CA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>To continue to make the case for well-funded world class public service and the highest of standards in public life</w:t>
            </w:r>
          </w:p>
        </w:tc>
        <w:tc>
          <w:tcPr>
            <w:tcW w:w="4111" w:type="dxa"/>
          </w:tcPr>
          <w:p w14:paraId="77F0990F" w14:textId="77777777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>Through a variety of channels continue to speak “truth to power” and highlight and challenge where appropriate government actions and behaviours which undermine public and members confidence and ability to deliver</w:t>
            </w:r>
          </w:p>
        </w:tc>
      </w:tr>
      <w:tr w:rsidR="007636B6" w:rsidRPr="002D1D30" w14:paraId="44AC835D" w14:textId="77777777" w:rsidTr="00B85C4E">
        <w:tc>
          <w:tcPr>
            <w:tcW w:w="4219" w:type="dxa"/>
          </w:tcPr>
          <w:p w14:paraId="265A02D4" w14:textId="1723CA8D" w:rsidR="007636B6" w:rsidRPr="002D1D30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 w:rsidRPr="002D1D30">
              <w:rPr>
                <w:rFonts w:cs="Tahoma"/>
                <w:spacing w:val="0"/>
                <w:lang w:eastAsia="en-US"/>
              </w:rPr>
              <w:lastRenderedPageBreak/>
              <w:t xml:space="preserve">To work with other civil service </w:t>
            </w:r>
            <w:r>
              <w:rPr>
                <w:rFonts w:cs="Tahoma"/>
                <w:spacing w:val="0"/>
                <w:lang w:eastAsia="en-US"/>
              </w:rPr>
              <w:t xml:space="preserve">and public sector </w:t>
            </w:r>
            <w:r w:rsidRPr="002D1D30">
              <w:rPr>
                <w:rFonts w:cs="Tahoma"/>
                <w:spacing w:val="0"/>
                <w:lang w:eastAsia="en-US"/>
              </w:rPr>
              <w:t>unions on matters of joint concern</w:t>
            </w:r>
            <w:r w:rsidR="009A11DE">
              <w:rPr>
                <w:rFonts w:cs="Tahoma"/>
                <w:spacing w:val="0"/>
                <w:lang w:eastAsia="en-US"/>
              </w:rPr>
              <w:t xml:space="preserve"> but to also develop strategies that </w:t>
            </w:r>
            <w:r w:rsidR="009B764E">
              <w:rPr>
                <w:rFonts w:cs="Tahoma"/>
                <w:spacing w:val="0"/>
                <w:lang w:eastAsia="en-US"/>
              </w:rPr>
              <w:t xml:space="preserve">prioritise </w:t>
            </w:r>
            <w:r w:rsidR="00CC4663">
              <w:rPr>
                <w:rFonts w:cs="Tahoma"/>
                <w:spacing w:val="0"/>
                <w:lang w:eastAsia="en-US"/>
              </w:rPr>
              <w:t xml:space="preserve">our influence independently to pursue </w:t>
            </w:r>
            <w:r w:rsidR="009B764E">
              <w:rPr>
                <w:rFonts w:cs="Tahoma"/>
                <w:spacing w:val="0"/>
                <w:lang w:eastAsia="en-US"/>
              </w:rPr>
              <w:t xml:space="preserve">Prospect’s Public Services Sector policies and agenda. </w:t>
            </w:r>
          </w:p>
        </w:tc>
        <w:tc>
          <w:tcPr>
            <w:tcW w:w="4111" w:type="dxa"/>
          </w:tcPr>
          <w:p w14:paraId="43052813" w14:textId="4B5E4747" w:rsidR="007636B6" w:rsidRDefault="007636B6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 w:rsidRPr="002D1D30">
              <w:rPr>
                <w:rFonts w:cs="Tahoma"/>
                <w:spacing w:val="0"/>
                <w:lang w:eastAsia="en-US"/>
              </w:rPr>
              <w:t>Effective</w:t>
            </w:r>
            <w:r w:rsidR="00B02F34">
              <w:rPr>
                <w:rFonts w:cs="Tahoma"/>
                <w:spacing w:val="0"/>
                <w:lang w:eastAsia="en-US"/>
              </w:rPr>
              <w:t>ly</w:t>
            </w:r>
            <w:r w:rsidRPr="002D1D30">
              <w:rPr>
                <w:rFonts w:cs="Tahoma"/>
                <w:spacing w:val="0"/>
                <w:lang w:eastAsia="en-US"/>
              </w:rPr>
              <w:t xml:space="preserve"> </w:t>
            </w:r>
            <w:r w:rsidR="0088069C">
              <w:rPr>
                <w:rFonts w:cs="Tahoma"/>
                <w:spacing w:val="0"/>
                <w:lang w:eastAsia="en-US"/>
              </w:rPr>
              <w:t xml:space="preserve">work within the </w:t>
            </w:r>
            <w:r w:rsidRPr="002D1D30">
              <w:rPr>
                <w:rFonts w:cs="Tahoma"/>
                <w:spacing w:val="0"/>
                <w:lang w:eastAsia="en-US"/>
              </w:rPr>
              <w:t xml:space="preserve">NTUC </w:t>
            </w:r>
            <w:r w:rsidR="0088069C">
              <w:rPr>
                <w:rFonts w:cs="Tahoma"/>
                <w:spacing w:val="0"/>
                <w:lang w:eastAsia="en-US"/>
              </w:rPr>
              <w:t>/</w:t>
            </w:r>
            <w:r>
              <w:rPr>
                <w:rFonts w:cs="Tahoma"/>
                <w:spacing w:val="0"/>
                <w:lang w:eastAsia="en-US"/>
              </w:rPr>
              <w:t xml:space="preserve"> TUC</w:t>
            </w:r>
            <w:r w:rsidR="0088069C">
              <w:rPr>
                <w:rFonts w:cs="Tahoma"/>
                <w:spacing w:val="0"/>
                <w:lang w:eastAsia="en-US"/>
              </w:rPr>
              <w:t xml:space="preserve"> </w:t>
            </w:r>
            <w:r w:rsidR="00B02F34">
              <w:rPr>
                <w:rFonts w:cs="Tahoma"/>
                <w:spacing w:val="0"/>
                <w:lang w:eastAsia="en-US"/>
              </w:rPr>
              <w:t xml:space="preserve">frameworks and build relationships </w:t>
            </w:r>
            <w:r w:rsidR="0088069C">
              <w:rPr>
                <w:rFonts w:cs="Tahoma"/>
                <w:spacing w:val="0"/>
                <w:lang w:eastAsia="en-US"/>
              </w:rPr>
              <w:t>with fellow trade unions</w:t>
            </w:r>
            <w:r w:rsidR="00B02F34">
              <w:rPr>
                <w:rFonts w:cs="Tahoma"/>
                <w:spacing w:val="0"/>
                <w:lang w:eastAsia="en-US"/>
              </w:rPr>
              <w:t xml:space="preserve"> to forward our policy objectives.</w:t>
            </w:r>
            <w:r>
              <w:rPr>
                <w:rFonts w:cs="Tahoma"/>
                <w:spacing w:val="0"/>
                <w:lang w:eastAsia="en-US"/>
              </w:rPr>
              <w:t xml:space="preserve"> </w:t>
            </w:r>
            <w:r w:rsidR="00B02F34">
              <w:rPr>
                <w:rFonts w:cs="Tahoma"/>
                <w:spacing w:val="0"/>
                <w:lang w:eastAsia="en-US"/>
              </w:rPr>
              <w:t xml:space="preserve">In key engagements and where necessary involve </w:t>
            </w:r>
            <w:r>
              <w:rPr>
                <w:rFonts w:cs="Tahoma"/>
                <w:spacing w:val="0"/>
                <w:lang w:eastAsia="en-US"/>
              </w:rPr>
              <w:t>lay member</w:t>
            </w:r>
            <w:r w:rsidR="00B02F34">
              <w:rPr>
                <w:rFonts w:cs="Tahoma"/>
                <w:spacing w:val="0"/>
                <w:lang w:eastAsia="en-US"/>
              </w:rPr>
              <w:t>s</w:t>
            </w:r>
            <w:r>
              <w:rPr>
                <w:rFonts w:cs="Tahoma"/>
                <w:spacing w:val="0"/>
                <w:lang w:eastAsia="en-US"/>
              </w:rPr>
              <w:t xml:space="preserve"> </w:t>
            </w:r>
            <w:r w:rsidRPr="002D1D30">
              <w:rPr>
                <w:rFonts w:cs="Tahoma"/>
                <w:spacing w:val="0"/>
                <w:lang w:eastAsia="en-US"/>
              </w:rPr>
              <w:t>to</w:t>
            </w:r>
            <w:r>
              <w:rPr>
                <w:rFonts w:cs="Tahoma"/>
                <w:spacing w:val="0"/>
                <w:lang w:eastAsia="en-US"/>
              </w:rPr>
              <w:t xml:space="preserve"> ensure </w:t>
            </w:r>
            <w:r w:rsidRPr="002D1D30">
              <w:rPr>
                <w:rFonts w:cs="Tahoma"/>
                <w:spacing w:val="0"/>
                <w:lang w:eastAsia="en-US"/>
              </w:rPr>
              <w:t>discussions take account of</w:t>
            </w:r>
            <w:r>
              <w:rPr>
                <w:rFonts w:cs="Tahoma"/>
                <w:spacing w:val="0"/>
                <w:lang w:eastAsia="en-US"/>
              </w:rPr>
              <w:t xml:space="preserve"> and highlight</w:t>
            </w:r>
            <w:r w:rsidRPr="002D1D30">
              <w:rPr>
                <w:rFonts w:cs="Tahoma"/>
                <w:spacing w:val="0"/>
                <w:lang w:eastAsia="en-US"/>
              </w:rPr>
              <w:t xml:space="preserve"> Prospect members’ interests</w:t>
            </w:r>
          </w:p>
          <w:p w14:paraId="31A9048D" w14:textId="77777777" w:rsidR="009B764E" w:rsidRDefault="009B764E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</w:p>
          <w:p w14:paraId="25C654B6" w14:textId="22BDE1B1" w:rsidR="009B764E" w:rsidRPr="002D1D30" w:rsidRDefault="001E72A4" w:rsidP="00CF0FDD">
            <w:pPr>
              <w:tabs>
                <w:tab w:val="left" w:pos="1134"/>
                <w:tab w:val="left" w:pos="6237"/>
              </w:tabs>
              <w:spacing w:after="0"/>
              <w:rPr>
                <w:rFonts w:cs="Tahoma"/>
                <w:spacing w:val="0"/>
                <w:lang w:eastAsia="en-US"/>
              </w:rPr>
            </w:pPr>
            <w:r>
              <w:rPr>
                <w:rFonts w:cs="Tahoma"/>
                <w:spacing w:val="0"/>
                <w:lang w:eastAsia="en-US"/>
              </w:rPr>
              <w:t>Improved ways of working, including a partnership framework that delivers early and meaningful engagement</w:t>
            </w:r>
          </w:p>
        </w:tc>
      </w:tr>
    </w:tbl>
    <w:p w14:paraId="1092DA67" w14:textId="77777777" w:rsidR="007155BE" w:rsidRDefault="007155BE" w:rsidP="001067D9">
      <w:pPr>
        <w:tabs>
          <w:tab w:val="left" w:pos="1134"/>
          <w:tab w:val="left" w:pos="6237"/>
        </w:tabs>
        <w:spacing w:after="0"/>
        <w:rPr>
          <w:rFonts w:cs="Tahoma"/>
          <w:b/>
          <w:spacing w:val="0"/>
          <w:sz w:val="20"/>
          <w:szCs w:val="20"/>
          <w:lang w:eastAsia="en-US"/>
        </w:rPr>
      </w:pPr>
    </w:p>
    <w:p w14:paraId="00E71782" w14:textId="77777777" w:rsidR="00A57292" w:rsidRPr="008F1213" w:rsidRDefault="00A57292" w:rsidP="00585E65"/>
    <w:sectPr w:rsidR="00A57292" w:rsidRPr="008F1213" w:rsidSect="005C7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6816" w14:textId="77777777" w:rsidR="00544D42" w:rsidRDefault="00544D42">
      <w:r>
        <w:separator/>
      </w:r>
    </w:p>
  </w:endnote>
  <w:endnote w:type="continuationSeparator" w:id="0">
    <w:p w14:paraId="67D48B55" w14:textId="77777777" w:rsidR="00544D42" w:rsidRDefault="0054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D0A9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4F8D2E3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F762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47A5860" w14:textId="77777777" w:rsidR="001918F6" w:rsidRDefault="00191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BF0A" w14:textId="77777777" w:rsidR="00A7661A" w:rsidRDefault="00A76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3674" w14:textId="77777777" w:rsidR="00544D42" w:rsidRDefault="00544D42">
      <w:r>
        <w:separator/>
      </w:r>
    </w:p>
  </w:footnote>
  <w:footnote w:type="continuationSeparator" w:id="0">
    <w:p w14:paraId="6ABE60D2" w14:textId="77777777" w:rsidR="00544D42" w:rsidRDefault="0054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E33C" w14:textId="77777777" w:rsidR="00A7661A" w:rsidRDefault="00A76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8218" w14:textId="77777777" w:rsidR="00A7661A" w:rsidRDefault="00A76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F39A" w14:textId="77777777" w:rsidR="00A7661A" w:rsidRDefault="00A76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2019504917">
    <w:abstractNumId w:val="3"/>
  </w:num>
  <w:num w:numId="2" w16cid:durableId="1767186031">
    <w:abstractNumId w:val="1"/>
  </w:num>
  <w:num w:numId="3" w16cid:durableId="1277369682">
    <w:abstractNumId w:val="2"/>
  </w:num>
  <w:num w:numId="4" w16cid:durableId="169607236">
    <w:abstractNumId w:val="5"/>
  </w:num>
  <w:num w:numId="5" w16cid:durableId="1280575814">
    <w:abstractNumId w:val="6"/>
  </w:num>
  <w:num w:numId="6" w16cid:durableId="48040363">
    <w:abstractNumId w:val="4"/>
  </w:num>
  <w:num w:numId="7" w16cid:durableId="1464274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263553">
    <w:abstractNumId w:val="7"/>
  </w:num>
  <w:num w:numId="9" w16cid:durableId="11083077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D9"/>
    <w:rsid w:val="000134EA"/>
    <w:rsid w:val="00025ECB"/>
    <w:rsid w:val="00032DF0"/>
    <w:rsid w:val="000343DC"/>
    <w:rsid w:val="00034577"/>
    <w:rsid w:val="00045DB7"/>
    <w:rsid w:val="0006258E"/>
    <w:rsid w:val="00064583"/>
    <w:rsid w:val="000702B4"/>
    <w:rsid w:val="000B1B0B"/>
    <w:rsid w:val="000C3EEF"/>
    <w:rsid w:val="000C6729"/>
    <w:rsid w:val="000D2062"/>
    <w:rsid w:val="000E3910"/>
    <w:rsid w:val="000E7EF3"/>
    <w:rsid w:val="001067D9"/>
    <w:rsid w:val="00114E04"/>
    <w:rsid w:val="00131944"/>
    <w:rsid w:val="00132547"/>
    <w:rsid w:val="00135D64"/>
    <w:rsid w:val="00140B75"/>
    <w:rsid w:val="001465A5"/>
    <w:rsid w:val="001520AF"/>
    <w:rsid w:val="001552A5"/>
    <w:rsid w:val="001664C4"/>
    <w:rsid w:val="00167C0A"/>
    <w:rsid w:val="00183D96"/>
    <w:rsid w:val="00184B01"/>
    <w:rsid w:val="001918F6"/>
    <w:rsid w:val="00191E0D"/>
    <w:rsid w:val="001B1121"/>
    <w:rsid w:val="001C1C80"/>
    <w:rsid w:val="001C5F66"/>
    <w:rsid w:val="001D0C86"/>
    <w:rsid w:val="001E72A4"/>
    <w:rsid w:val="00200C94"/>
    <w:rsid w:val="002133A7"/>
    <w:rsid w:val="00227700"/>
    <w:rsid w:val="002426EC"/>
    <w:rsid w:val="00244EF3"/>
    <w:rsid w:val="002531BD"/>
    <w:rsid w:val="00257E14"/>
    <w:rsid w:val="00262F35"/>
    <w:rsid w:val="00266793"/>
    <w:rsid w:val="00271F0E"/>
    <w:rsid w:val="0027502C"/>
    <w:rsid w:val="002769AB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335E1"/>
    <w:rsid w:val="00337963"/>
    <w:rsid w:val="003425DB"/>
    <w:rsid w:val="00352EB3"/>
    <w:rsid w:val="003550F8"/>
    <w:rsid w:val="00376C5C"/>
    <w:rsid w:val="00377D57"/>
    <w:rsid w:val="00383C52"/>
    <w:rsid w:val="003A23CA"/>
    <w:rsid w:val="003A25C1"/>
    <w:rsid w:val="003B2FE9"/>
    <w:rsid w:val="003B75DB"/>
    <w:rsid w:val="003C3164"/>
    <w:rsid w:val="003C75F1"/>
    <w:rsid w:val="004273F0"/>
    <w:rsid w:val="00434704"/>
    <w:rsid w:val="00436FD4"/>
    <w:rsid w:val="00460EFB"/>
    <w:rsid w:val="004725AD"/>
    <w:rsid w:val="0047381D"/>
    <w:rsid w:val="004915D6"/>
    <w:rsid w:val="004C6FA2"/>
    <w:rsid w:val="004E00A5"/>
    <w:rsid w:val="004E66EB"/>
    <w:rsid w:val="004E784A"/>
    <w:rsid w:val="004F24FD"/>
    <w:rsid w:val="004F50E8"/>
    <w:rsid w:val="00501367"/>
    <w:rsid w:val="00513521"/>
    <w:rsid w:val="005225D5"/>
    <w:rsid w:val="005236D6"/>
    <w:rsid w:val="0053121B"/>
    <w:rsid w:val="005312F6"/>
    <w:rsid w:val="00544D42"/>
    <w:rsid w:val="005825A2"/>
    <w:rsid w:val="00585E65"/>
    <w:rsid w:val="00587C8E"/>
    <w:rsid w:val="00591757"/>
    <w:rsid w:val="005A7A9E"/>
    <w:rsid w:val="005C1102"/>
    <w:rsid w:val="005C22DE"/>
    <w:rsid w:val="005C7169"/>
    <w:rsid w:val="00627EB0"/>
    <w:rsid w:val="0063369B"/>
    <w:rsid w:val="006404CE"/>
    <w:rsid w:val="00643A7A"/>
    <w:rsid w:val="00661741"/>
    <w:rsid w:val="006620C9"/>
    <w:rsid w:val="0066213B"/>
    <w:rsid w:val="00662171"/>
    <w:rsid w:val="00667E2B"/>
    <w:rsid w:val="00671742"/>
    <w:rsid w:val="006951F6"/>
    <w:rsid w:val="0069744C"/>
    <w:rsid w:val="006A2192"/>
    <w:rsid w:val="006B019D"/>
    <w:rsid w:val="006C1264"/>
    <w:rsid w:val="006C16B4"/>
    <w:rsid w:val="006C3996"/>
    <w:rsid w:val="006C54DC"/>
    <w:rsid w:val="006C7C77"/>
    <w:rsid w:val="006D3043"/>
    <w:rsid w:val="006E0C88"/>
    <w:rsid w:val="006E201B"/>
    <w:rsid w:val="006E5F94"/>
    <w:rsid w:val="0070690D"/>
    <w:rsid w:val="007155BE"/>
    <w:rsid w:val="007328F4"/>
    <w:rsid w:val="00752F15"/>
    <w:rsid w:val="007636B6"/>
    <w:rsid w:val="00771506"/>
    <w:rsid w:val="007836D9"/>
    <w:rsid w:val="007840E4"/>
    <w:rsid w:val="007C56FC"/>
    <w:rsid w:val="007D00E2"/>
    <w:rsid w:val="007D5AE7"/>
    <w:rsid w:val="007E5881"/>
    <w:rsid w:val="00842BFA"/>
    <w:rsid w:val="00855F8C"/>
    <w:rsid w:val="00857FD2"/>
    <w:rsid w:val="00867417"/>
    <w:rsid w:val="00875CB4"/>
    <w:rsid w:val="0088069C"/>
    <w:rsid w:val="008B0412"/>
    <w:rsid w:val="008B50D5"/>
    <w:rsid w:val="008F1213"/>
    <w:rsid w:val="009233FF"/>
    <w:rsid w:val="00927EAC"/>
    <w:rsid w:val="00931211"/>
    <w:rsid w:val="009637B8"/>
    <w:rsid w:val="00974FEA"/>
    <w:rsid w:val="009862AA"/>
    <w:rsid w:val="009965AB"/>
    <w:rsid w:val="009A11DE"/>
    <w:rsid w:val="009A4834"/>
    <w:rsid w:val="009B6497"/>
    <w:rsid w:val="009B764E"/>
    <w:rsid w:val="009C3056"/>
    <w:rsid w:val="009C3DAC"/>
    <w:rsid w:val="009D0598"/>
    <w:rsid w:val="00A21F38"/>
    <w:rsid w:val="00A27BA5"/>
    <w:rsid w:val="00A3309C"/>
    <w:rsid w:val="00A519D8"/>
    <w:rsid w:val="00A561B5"/>
    <w:rsid w:val="00A57292"/>
    <w:rsid w:val="00A70300"/>
    <w:rsid w:val="00A7661A"/>
    <w:rsid w:val="00A77263"/>
    <w:rsid w:val="00A8225C"/>
    <w:rsid w:val="00A95F21"/>
    <w:rsid w:val="00AB23AC"/>
    <w:rsid w:val="00AD5A1C"/>
    <w:rsid w:val="00AE7A80"/>
    <w:rsid w:val="00AF5642"/>
    <w:rsid w:val="00B02F34"/>
    <w:rsid w:val="00B11709"/>
    <w:rsid w:val="00B24081"/>
    <w:rsid w:val="00B25532"/>
    <w:rsid w:val="00B4255A"/>
    <w:rsid w:val="00B72873"/>
    <w:rsid w:val="00B8274F"/>
    <w:rsid w:val="00B828F4"/>
    <w:rsid w:val="00B84947"/>
    <w:rsid w:val="00B85C4E"/>
    <w:rsid w:val="00B86195"/>
    <w:rsid w:val="00B90556"/>
    <w:rsid w:val="00BA4164"/>
    <w:rsid w:val="00BC025E"/>
    <w:rsid w:val="00BC1D2B"/>
    <w:rsid w:val="00BE5E1E"/>
    <w:rsid w:val="00BF6A25"/>
    <w:rsid w:val="00C03233"/>
    <w:rsid w:val="00C1708B"/>
    <w:rsid w:val="00C27CB4"/>
    <w:rsid w:val="00C545C7"/>
    <w:rsid w:val="00C57595"/>
    <w:rsid w:val="00C777B0"/>
    <w:rsid w:val="00C84201"/>
    <w:rsid w:val="00C94DA1"/>
    <w:rsid w:val="00C95601"/>
    <w:rsid w:val="00CA32DD"/>
    <w:rsid w:val="00CC4663"/>
    <w:rsid w:val="00CD1DF7"/>
    <w:rsid w:val="00CD4661"/>
    <w:rsid w:val="00CE4562"/>
    <w:rsid w:val="00CF0289"/>
    <w:rsid w:val="00D37FEC"/>
    <w:rsid w:val="00D601F7"/>
    <w:rsid w:val="00D67E57"/>
    <w:rsid w:val="00D71F11"/>
    <w:rsid w:val="00D808BE"/>
    <w:rsid w:val="00D90519"/>
    <w:rsid w:val="00D91400"/>
    <w:rsid w:val="00DA60C0"/>
    <w:rsid w:val="00DA652B"/>
    <w:rsid w:val="00DB1222"/>
    <w:rsid w:val="00DB6122"/>
    <w:rsid w:val="00DE23D0"/>
    <w:rsid w:val="00E06306"/>
    <w:rsid w:val="00E117CD"/>
    <w:rsid w:val="00E15112"/>
    <w:rsid w:val="00E15E50"/>
    <w:rsid w:val="00E252DF"/>
    <w:rsid w:val="00E34C55"/>
    <w:rsid w:val="00E45D5F"/>
    <w:rsid w:val="00E515D7"/>
    <w:rsid w:val="00E666DA"/>
    <w:rsid w:val="00E667A2"/>
    <w:rsid w:val="00E73946"/>
    <w:rsid w:val="00E75683"/>
    <w:rsid w:val="00E87F16"/>
    <w:rsid w:val="00EA3A0A"/>
    <w:rsid w:val="00EA4E0B"/>
    <w:rsid w:val="00EA5F22"/>
    <w:rsid w:val="00EB2787"/>
    <w:rsid w:val="00EB4220"/>
    <w:rsid w:val="00EC3171"/>
    <w:rsid w:val="00EC6AE1"/>
    <w:rsid w:val="00EC73EB"/>
    <w:rsid w:val="00ED2420"/>
    <w:rsid w:val="00EE572E"/>
    <w:rsid w:val="00F0063B"/>
    <w:rsid w:val="00F04FC4"/>
    <w:rsid w:val="00F266D4"/>
    <w:rsid w:val="00F40DA3"/>
    <w:rsid w:val="00F5724F"/>
    <w:rsid w:val="00F6222E"/>
    <w:rsid w:val="00F642A0"/>
    <w:rsid w:val="00F70D9F"/>
    <w:rsid w:val="00F83201"/>
    <w:rsid w:val="00F845A1"/>
    <w:rsid w:val="00F94121"/>
    <w:rsid w:val="00F97583"/>
    <w:rsid w:val="00FA4441"/>
    <w:rsid w:val="00FB0DAC"/>
    <w:rsid w:val="00FB108C"/>
    <w:rsid w:val="00FC1E5A"/>
    <w:rsid w:val="00FC4882"/>
    <w:rsid w:val="00FE2582"/>
    <w:rsid w:val="00FE7E48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BBE62"/>
  <w15:chartTrackingRefBased/>
  <w15:docId w15:val="{51FE18BA-EF9E-470B-BC03-72C8A0C9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7D9"/>
    <w:rPr>
      <w:rFonts w:ascii="Tahoma" w:hAnsi="Tahoma"/>
      <w:spacing w:val="4"/>
      <w:sz w:val="22"/>
      <w:szCs w:val="22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 w:after="0" w:line="240" w:lineRule="auto"/>
    </w:pPr>
    <w:rPr>
      <w:rFonts w:ascii="Arial" w:hAnsi="Arial"/>
      <w:spacing w:val="0"/>
      <w:sz w:val="21"/>
      <w:szCs w:val="21"/>
    </w:r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pPr>
      <w:spacing w:before="180" w:after="0" w:line="240" w:lineRule="auto"/>
    </w:pPr>
    <w:rPr>
      <w:rFonts w:ascii="Arial" w:hAnsi="Arial"/>
      <w:spacing w:val="0"/>
      <w:sz w:val="14"/>
      <w:szCs w:val="21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spacing w:before="180" w:after="0" w:line="240" w:lineRule="auto"/>
      <w:ind w:left="340"/>
    </w:pPr>
    <w:rPr>
      <w:rFonts w:ascii="Arial" w:hAnsi="Arial"/>
      <w:spacing w:val="0"/>
      <w:sz w:val="21"/>
      <w:szCs w:val="21"/>
    </w:r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spacing w:before="180" w:after="0" w:line="240" w:lineRule="auto"/>
      <w:ind w:left="720"/>
      <w:contextualSpacing/>
    </w:pPr>
    <w:rPr>
      <w:rFonts w:ascii="Arial" w:hAnsi="Arial"/>
      <w:spacing w:val="0"/>
      <w:sz w:val="21"/>
      <w:szCs w:val="21"/>
    </w:r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 w:after="0" w:line="240" w:lineRule="auto"/>
    </w:pPr>
    <w:rPr>
      <w:rFonts w:ascii="Arial" w:hAnsi="Arial"/>
      <w:spacing w:val="0"/>
      <w:sz w:val="21"/>
      <w:szCs w:val="21"/>
    </w:r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 w:after="0" w:line="240" w:lineRule="auto"/>
      <w:ind w:left="1020" w:hanging="340"/>
    </w:pPr>
    <w:rPr>
      <w:rFonts w:ascii="Arial" w:hAnsi="Arial"/>
      <w:spacing w:val="0"/>
      <w:sz w:val="21"/>
      <w:szCs w:val="21"/>
    </w:r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 w:line="240" w:lineRule="auto"/>
    </w:pPr>
    <w:rPr>
      <w:rFonts w:ascii="Arial" w:hAnsi="Arial"/>
      <w:spacing w:val="0"/>
      <w:sz w:val="21"/>
      <w:szCs w:val="21"/>
    </w:r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 w:line="240" w:lineRule="auto"/>
    </w:pPr>
    <w:rPr>
      <w:rFonts w:ascii="Arial" w:hAnsi="Arial"/>
      <w:spacing w:val="0"/>
      <w:sz w:val="21"/>
      <w:szCs w:val="21"/>
    </w:r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 w:after="0" w:line="240" w:lineRule="auto"/>
    </w:pPr>
    <w:rPr>
      <w:rFonts w:ascii="Arial" w:hAnsi="Arial"/>
      <w:spacing w:val="0"/>
      <w:sz w:val="21"/>
      <w:szCs w:val="21"/>
    </w:r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 w:after="0" w:line="240" w:lineRule="auto"/>
    </w:pPr>
    <w:rPr>
      <w:rFonts w:ascii="Arial" w:hAnsi="Arial"/>
      <w:spacing w:val="0"/>
      <w:sz w:val="21"/>
      <w:szCs w:val="21"/>
    </w:r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 w:after="0" w:line="240" w:lineRule="auto"/>
    </w:pPr>
    <w:rPr>
      <w:rFonts w:ascii="Arial" w:hAnsi="Arial"/>
      <w:spacing w:val="0"/>
      <w:sz w:val="21"/>
      <w:szCs w:val="21"/>
    </w:r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 w:line="240" w:lineRule="auto"/>
    </w:pPr>
    <w:rPr>
      <w:rFonts w:ascii="Arial" w:hAnsi="Arial"/>
      <w:spacing w:val="0"/>
      <w:sz w:val="21"/>
      <w:szCs w:val="21"/>
    </w:r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 w:line="240" w:lineRule="auto"/>
    </w:pPr>
    <w:rPr>
      <w:rFonts w:ascii="Arial" w:hAnsi="Arial"/>
      <w:spacing w:val="0"/>
      <w:sz w:val="21"/>
      <w:szCs w:val="21"/>
    </w:r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spacing w:before="180" w:after="0" w:line="240" w:lineRule="auto"/>
      <w:ind w:left="567"/>
    </w:pPr>
    <w:rPr>
      <w:rFonts w:ascii="Arial" w:hAnsi="Arial"/>
      <w:spacing w:val="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pacing w:val="0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before="180" w:line="240" w:lineRule="auto"/>
    </w:pPr>
    <w:rPr>
      <w:rFonts w:ascii="Arial" w:hAnsi="Arial"/>
      <w:spacing w:val="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after="0" w:line="400" w:lineRule="exact"/>
    </w:pPr>
    <w:rPr>
      <w:rFonts w:ascii="Arial" w:hAnsi="Arial"/>
      <w:spacing w:val="0"/>
      <w:sz w:val="28"/>
      <w:szCs w:val="21"/>
    </w:rPr>
  </w:style>
  <w:style w:type="paragraph" w:customStyle="1" w:styleId="letter-date">
    <w:name w:val="letter-date"/>
    <w:basedOn w:val="Normal"/>
    <w:rsid w:val="005236D6"/>
    <w:pPr>
      <w:spacing w:before="140" w:after="0" w:line="240" w:lineRule="auto"/>
    </w:pPr>
    <w:rPr>
      <w:rFonts w:ascii="Arial" w:hAnsi="Arial"/>
      <w:spacing w:val="0"/>
      <w:sz w:val="21"/>
      <w:szCs w:val="21"/>
    </w:rPr>
  </w:style>
  <w:style w:type="paragraph" w:customStyle="1" w:styleId="letter-reference">
    <w:name w:val="letter-reference"/>
    <w:basedOn w:val="Normal"/>
    <w:rsid w:val="005236D6"/>
    <w:pPr>
      <w:spacing w:before="460" w:after="0" w:line="240" w:lineRule="auto"/>
    </w:pPr>
    <w:rPr>
      <w:rFonts w:ascii="Arial" w:hAnsi="Arial"/>
      <w:spacing w:val="0"/>
      <w:sz w:val="21"/>
      <w:szCs w:val="21"/>
    </w:r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 w:after="0" w:line="240" w:lineRule="auto"/>
    </w:pPr>
    <w:rPr>
      <w:rFonts w:ascii="Arial" w:hAnsi="Arial"/>
      <w:spacing w:val="0"/>
      <w:sz w:val="21"/>
      <w:szCs w:val="21"/>
    </w:rPr>
  </w:style>
  <w:style w:type="paragraph" w:customStyle="1" w:styleId="Normalnospaceafterorbefore">
    <w:name w:val="Normal no space after or before"/>
    <w:basedOn w:val="Normal"/>
    <w:rsid w:val="005236D6"/>
    <w:pPr>
      <w:spacing w:after="0" w:line="240" w:lineRule="auto"/>
    </w:pPr>
    <w:rPr>
      <w:rFonts w:ascii="Arial" w:hAnsi="Arial"/>
      <w:spacing w:val="0"/>
      <w:sz w:val="21"/>
      <w:szCs w:val="21"/>
    </w:r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line="240" w:lineRule="auto"/>
    </w:pPr>
    <w:rPr>
      <w:rFonts w:ascii="Arial" w:hAnsi="Arial"/>
      <w:spacing w:val="0"/>
      <w:sz w:val="21"/>
      <w:szCs w:val="21"/>
    </w:rPr>
  </w:style>
  <w:style w:type="paragraph" w:customStyle="1" w:styleId="letter-signoff-job-title">
    <w:name w:val="letter-signoff-job-title"/>
    <w:basedOn w:val="Normal"/>
    <w:rsid w:val="005236D6"/>
    <w:pPr>
      <w:spacing w:line="240" w:lineRule="auto"/>
    </w:pPr>
    <w:rPr>
      <w:rFonts w:ascii="Arial" w:hAnsi="Arial"/>
      <w:spacing w:val="0"/>
      <w:sz w:val="21"/>
      <w:szCs w:val="21"/>
    </w:r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pPr>
      <w:spacing w:before="180" w:after="0" w:line="240" w:lineRule="auto"/>
    </w:pPr>
    <w:rPr>
      <w:rFonts w:ascii="Arial" w:hAnsi="Arial"/>
      <w:b/>
      <w:spacing w:val="0"/>
      <w:sz w:val="21"/>
      <w:szCs w:val="21"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 w:line="240" w:lineRule="auto"/>
    </w:pPr>
    <w:rPr>
      <w:rFonts w:ascii="Arial" w:hAnsi="Arial"/>
      <w:spacing w:val="0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C8E"/>
    <w:rPr>
      <w:rFonts w:ascii="Segoe UI" w:hAnsi="Segoe UI" w:cs="Segoe UI"/>
      <w:spacing w:val="4"/>
      <w:sz w:val="18"/>
      <w:szCs w:val="18"/>
    </w:rPr>
  </w:style>
  <w:style w:type="paragraph" w:styleId="Revision">
    <w:name w:val="Revision"/>
    <w:hidden/>
    <w:uiPriority w:val="99"/>
    <w:semiHidden/>
    <w:rsid w:val="00FC1E5A"/>
    <w:pPr>
      <w:spacing w:after="0" w:line="240" w:lineRule="auto"/>
    </w:pPr>
    <w:rPr>
      <w:rFonts w:ascii="Tahoma" w:hAnsi="Tahoma"/>
      <w:spacing w:val="4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A3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A0A"/>
    <w:rPr>
      <w:rFonts w:ascii="Tahoma" w:hAnsi="Tahoma"/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A0A"/>
    <w:rPr>
      <w:rFonts w:ascii="Tahoma" w:hAnsi="Tahom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eff40d-3754-4880-9a0e-90b9f7cd55a6}" enabled="0" method="" siteId="{c2eff40d-3754-4880-9a0e-90b9f7cd55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4321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Garry Graham</dc:creator>
  <cp:keywords/>
  <dc:description/>
  <cp:lastModifiedBy>Nicola Giblin</cp:lastModifiedBy>
  <cp:revision>2</cp:revision>
  <cp:lastPrinted>2006-01-26T18:56:00Z</cp:lastPrinted>
  <dcterms:created xsi:type="dcterms:W3CDTF">2025-08-18T12:47:00Z</dcterms:created>
  <dcterms:modified xsi:type="dcterms:W3CDTF">2025-08-18T12:47:00Z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